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21B" w:rsidRPr="005E08EB" w:rsidRDefault="0077121B" w:rsidP="0077121B">
      <w:pPr>
        <w:pStyle w:val="Heading1"/>
        <w:rPr>
          <w:rFonts w:asciiTheme="minorHAnsi" w:hAnsiTheme="minorHAnsi"/>
        </w:rPr>
      </w:pPr>
      <w:r w:rsidRPr="005E08EB">
        <w:rPr>
          <w:rFonts w:asciiTheme="minorHAnsi" w:hAnsiTheme="minorHAnsi"/>
        </w:rPr>
        <w:t xml:space="preserve">Guidance: </w:t>
      </w:r>
      <w:r w:rsidR="005E08EB" w:rsidRPr="005E08EB">
        <w:rPr>
          <w:rFonts w:asciiTheme="minorHAnsi" w:hAnsiTheme="minorHAnsi"/>
        </w:rPr>
        <w:t>Open Data Definitions</w:t>
      </w:r>
    </w:p>
    <w:p w:rsidR="005E08EB" w:rsidRPr="005E08EB" w:rsidRDefault="005E08EB" w:rsidP="005E08EB">
      <w:pPr>
        <w:shd w:val="clear" w:color="auto" w:fill="FFFFFF"/>
        <w:spacing w:after="150" w:line="360" w:lineRule="atLeast"/>
        <w:rPr>
          <w:rFonts w:eastAsia="Times New Roman" w:cs="Arial"/>
          <w:color w:val="343434"/>
          <w:sz w:val="21"/>
          <w:szCs w:val="21"/>
        </w:rPr>
      </w:pPr>
      <w:r w:rsidRPr="005E08EB">
        <w:rPr>
          <w:rFonts w:eastAsia="Times New Roman" w:cs="Arial"/>
          <w:i/>
          <w:iCs/>
          <w:color w:val="343434"/>
          <w:sz w:val="21"/>
          <w:szCs w:val="21"/>
        </w:rPr>
        <w:t>Note: In order to keep OCIO policies clear and short, definitions are not part of the published policy.  The section below relates to OCIO Policy 187 Open Data Planning, and was included with the draft. Terms defined here will be added to the common OCIO policy on definitions.</w:t>
      </w:r>
    </w:p>
    <w:p w:rsidR="005E08EB" w:rsidRPr="005E08EB" w:rsidRDefault="005E08EB" w:rsidP="005E08EB">
      <w:pPr>
        <w:numPr>
          <w:ilvl w:val="0"/>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b/>
          <w:bCs/>
          <w:color w:val="343434"/>
          <w:sz w:val="21"/>
          <w:szCs w:val="21"/>
        </w:rPr>
        <w:t>Agency and Agencies</w:t>
      </w:r>
      <w:r w:rsidRPr="005E08EB">
        <w:rPr>
          <w:rFonts w:eastAsia="Times New Roman" w:cs="Arial"/>
          <w:color w:val="343434"/>
          <w:sz w:val="21"/>
          <w:szCs w:val="21"/>
        </w:rPr>
        <w:t> have the same meaning as in </w:t>
      </w:r>
      <w:hyperlink r:id="rId5" w:history="1">
        <w:r w:rsidRPr="005E08EB">
          <w:rPr>
            <w:rFonts w:eastAsia="Times New Roman" w:cs="Arial"/>
            <w:color w:val="06385B"/>
            <w:sz w:val="21"/>
            <w:szCs w:val="21"/>
            <w:u w:val="single"/>
          </w:rPr>
          <w:t>technology Policy 101</w:t>
        </w:r>
      </w:hyperlink>
      <w:r w:rsidRPr="005E08EB">
        <w:rPr>
          <w:rFonts w:eastAsia="Times New Roman" w:cs="Arial"/>
          <w:color w:val="343434"/>
          <w:sz w:val="21"/>
          <w:szCs w:val="21"/>
        </w:rPr>
        <w:t> - Technology Policies and Standards (See </w:t>
      </w:r>
      <w:hyperlink r:id="rId6" w:history="1">
        <w:r w:rsidRPr="005E08EB">
          <w:rPr>
            <w:rFonts w:eastAsia="Times New Roman" w:cs="Arial"/>
            <w:color w:val="06385B"/>
            <w:sz w:val="21"/>
            <w:szCs w:val="21"/>
            <w:u w:val="single"/>
          </w:rPr>
          <w:t>Technology Policy 101</w:t>
        </w:r>
      </w:hyperlink>
      <w:r w:rsidRPr="005E08EB">
        <w:rPr>
          <w:rFonts w:eastAsia="Times New Roman" w:cs="Arial"/>
          <w:color w:val="343434"/>
          <w:sz w:val="21"/>
          <w:szCs w:val="21"/>
        </w:rPr>
        <w:t> )</w:t>
      </w:r>
    </w:p>
    <w:p w:rsidR="005E08EB" w:rsidRPr="005E08EB" w:rsidRDefault="005E08EB" w:rsidP="005E08EB">
      <w:pPr>
        <w:numPr>
          <w:ilvl w:val="0"/>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b/>
          <w:bCs/>
          <w:color w:val="343434"/>
          <w:sz w:val="21"/>
          <w:szCs w:val="21"/>
        </w:rPr>
        <w:t>Data</w:t>
      </w:r>
      <w:r w:rsidRPr="005E08EB">
        <w:rPr>
          <w:rFonts w:eastAsia="Times New Roman" w:cs="Arial"/>
          <w:color w:val="343434"/>
          <w:sz w:val="21"/>
          <w:szCs w:val="21"/>
        </w:rPr>
        <w:t> means final versions of statistical or factual information that:</w:t>
      </w:r>
    </w:p>
    <w:p w:rsidR="005E08EB" w:rsidRPr="005E08EB" w:rsidRDefault="005E08EB" w:rsidP="005E08EB">
      <w:pPr>
        <w:numPr>
          <w:ilvl w:val="1"/>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color w:val="343434"/>
          <w:sz w:val="21"/>
          <w:szCs w:val="21"/>
        </w:rPr>
        <w:t xml:space="preserve">Are in alphanumeric form reflected in a list, table, graph, chart, or other </w:t>
      </w:r>
      <w:proofErr w:type="spellStart"/>
      <w:r w:rsidRPr="005E08EB">
        <w:rPr>
          <w:rFonts w:eastAsia="Times New Roman" w:cs="Arial"/>
          <w:color w:val="343434"/>
          <w:sz w:val="21"/>
          <w:szCs w:val="21"/>
        </w:rPr>
        <w:t>nonnarrative</w:t>
      </w:r>
      <w:proofErr w:type="spellEnd"/>
      <w:r w:rsidRPr="005E08EB">
        <w:rPr>
          <w:rFonts w:eastAsia="Times New Roman" w:cs="Arial"/>
          <w:color w:val="343434"/>
          <w:sz w:val="21"/>
          <w:szCs w:val="21"/>
        </w:rPr>
        <w:t xml:space="preserve"> form, that can be d</w:t>
      </w:r>
      <w:bookmarkStart w:id="0" w:name="_GoBack"/>
      <w:bookmarkEnd w:id="0"/>
      <w:r w:rsidRPr="005E08EB">
        <w:rPr>
          <w:rFonts w:eastAsia="Times New Roman" w:cs="Arial"/>
          <w:color w:val="343434"/>
          <w:sz w:val="21"/>
          <w:szCs w:val="21"/>
        </w:rPr>
        <w:t>igitally transmitted or processed;</w:t>
      </w:r>
    </w:p>
    <w:p w:rsidR="005E08EB" w:rsidRPr="005E08EB" w:rsidRDefault="005E08EB" w:rsidP="005E08EB">
      <w:pPr>
        <w:numPr>
          <w:ilvl w:val="1"/>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color w:val="343434"/>
          <w:sz w:val="21"/>
          <w:szCs w:val="21"/>
        </w:rPr>
        <w:t>Are regularly created or maintained by or on behalf of an agency and controlled by such agency; and</w:t>
      </w:r>
    </w:p>
    <w:p w:rsidR="005E08EB" w:rsidRPr="005E08EB" w:rsidRDefault="005E08EB" w:rsidP="005E08EB">
      <w:pPr>
        <w:numPr>
          <w:ilvl w:val="1"/>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color w:val="343434"/>
          <w:sz w:val="21"/>
          <w:szCs w:val="21"/>
        </w:rPr>
        <w:t>Record a measurement, transaction, or determination related to the mission of the agency.</w:t>
      </w:r>
    </w:p>
    <w:p w:rsidR="005E08EB" w:rsidRPr="005E08EB" w:rsidRDefault="005E08EB" w:rsidP="005E08EB">
      <w:pPr>
        <w:numPr>
          <w:ilvl w:val="0"/>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b/>
          <w:bCs/>
          <w:color w:val="343434"/>
          <w:sz w:val="21"/>
          <w:szCs w:val="21"/>
        </w:rPr>
        <w:t>Data set</w:t>
      </w:r>
      <w:r w:rsidRPr="005E08EB">
        <w:rPr>
          <w:rFonts w:eastAsia="Times New Roman" w:cs="Arial"/>
          <w:color w:val="343434"/>
          <w:sz w:val="21"/>
          <w:szCs w:val="21"/>
        </w:rPr>
        <w:t> means a named collection of related records maintained on a storage device, with the collection containing data organized or formatted in a specific or prescribed way, often in tabular form.</w:t>
      </w:r>
    </w:p>
    <w:p w:rsidR="005E08EB" w:rsidRPr="005E08EB" w:rsidRDefault="005E08EB" w:rsidP="005E08EB">
      <w:pPr>
        <w:numPr>
          <w:ilvl w:val="0"/>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b/>
          <w:bCs/>
          <w:color w:val="343434"/>
          <w:sz w:val="21"/>
          <w:szCs w:val="21"/>
        </w:rPr>
        <w:t>Open Data</w:t>
      </w:r>
      <w:r w:rsidRPr="005E08EB">
        <w:rPr>
          <w:rFonts w:eastAsia="Times New Roman" w:cs="Arial"/>
          <w:color w:val="343434"/>
          <w:sz w:val="21"/>
          <w:szCs w:val="21"/>
        </w:rPr>
        <w:t> means public data that are freely available, machine readable, and structured in a way that enables the data to be fully discoverable and usable by end users.</w:t>
      </w:r>
    </w:p>
    <w:p w:rsidR="005E08EB" w:rsidRPr="005E08EB" w:rsidRDefault="005E08EB" w:rsidP="005E08EB">
      <w:pPr>
        <w:numPr>
          <w:ilvl w:val="1"/>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color w:val="343434"/>
          <w:sz w:val="21"/>
          <w:szCs w:val="21"/>
        </w:rPr>
        <w:t>Open Data does not include the following:</w:t>
      </w:r>
    </w:p>
    <w:p w:rsidR="005E08EB" w:rsidRPr="005E08EB" w:rsidRDefault="005E08EB" w:rsidP="005E08EB">
      <w:pPr>
        <w:numPr>
          <w:ilvl w:val="2"/>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color w:val="343434"/>
          <w:sz w:val="21"/>
          <w:szCs w:val="21"/>
        </w:rPr>
        <w:t>Data identified by the state agency holding it as category 3 or category 4 data under the data categorization provisions of the state policy “Securing Information Technology Assets”(</w:t>
      </w:r>
      <w:hyperlink r:id="rId7" w:history="1">
        <w:r w:rsidRPr="005E08EB">
          <w:rPr>
            <w:rFonts w:eastAsia="Times New Roman" w:cs="Arial"/>
            <w:color w:val="06385B"/>
            <w:sz w:val="21"/>
            <w:szCs w:val="21"/>
            <w:u w:val="single"/>
          </w:rPr>
          <w:t>OCIO policy 141.10</w:t>
        </w:r>
      </w:hyperlink>
      <w:r w:rsidRPr="005E08EB">
        <w:rPr>
          <w:rFonts w:eastAsia="Times New Roman" w:cs="Arial"/>
          <w:color w:val="343434"/>
          <w:sz w:val="21"/>
          <w:szCs w:val="21"/>
        </w:rPr>
        <w:t>section 4)</w:t>
      </w:r>
    </w:p>
    <w:p w:rsidR="005E08EB" w:rsidRPr="005E08EB" w:rsidRDefault="005E08EB" w:rsidP="005E08EB">
      <w:pPr>
        <w:numPr>
          <w:ilvl w:val="2"/>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color w:val="343434"/>
          <w:sz w:val="21"/>
          <w:szCs w:val="21"/>
        </w:rPr>
        <w:t>Any data set or portion of a data set to which the state agency may deny access pursuant to the public records act, chapter 42.56 RCW, or any other provision of a federal or state law, rule, interpretive policy statement, regulation or local law;</w:t>
      </w:r>
    </w:p>
    <w:p w:rsidR="005E08EB" w:rsidRPr="005E08EB" w:rsidRDefault="005E08EB" w:rsidP="005E08EB">
      <w:pPr>
        <w:numPr>
          <w:ilvl w:val="2"/>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color w:val="343434"/>
          <w:sz w:val="21"/>
          <w:szCs w:val="21"/>
        </w:rPr>
        <w:t>Data that reflects the internal deliberative process of a state agency or agencies, including but not limited to</w:t>
      </w:r>
    </w:p>
    <w:p w:rsidR="005E08EB" w:rsidRPr="005E08EB" w:rsidRDefault="005E08EB" w:rsidP="005E08EB">
      <w:pPr>
        <w:numPr>
          <w:ilvl w:val="3"/>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color w:val="343434"/>
          <w:sz w:val="21"/>
          <w:szCs w:val="21"/>
        </w:rPr>
        <w:t>negotiating positions,</w:t>
      </w:r>
    </w:p>
    <w:p w:rsidR="005E08EB" w:rsidRPr="005E08EB" w:rsidRDefault="005E08EB" w:rsidP="005E08EB">
      <w:pPr>
        <w:numPr>
          <w:ilvl w:val="3"/>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color w:val="343434"/>
          <w:sz w:val="21"/>
          <w:szCs w:val="21"/>
        </w:rPr>
        <w:t>future procurements</w:t>
      </w:r>
    </w:p>
    <w:p w:rsidR="005E08EB" w:rsidRPr="005E08EB" w:rsidRDefault="005E08EB" w:rsidP="005E08EB">
      <w:pPr>
        <w:numPr>
          <w:ilvl w:val="3"/>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color w:val="343434"/>
          <w:sz w:val="21"/>
          <w:szCs w:val="21"/>
        </w:rPr>
        <w:t>pending or reasonably anticipated legal or administrative proceedings;</w:t>
      </w:r>
    </w:p>
    <w:p w:rsidR="005E08EB" w:rsidRPr="005E08EB" w:rsidRDefault="005E08EB" w:rsidP="005E08EB">
      <w:pPr>
        <w:numPr>
          <w:ilvl w:val="2"/>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color w:val="343434"/>
          <w:sz w:val="21"/>
          <w:szCs w:val="21"/>
        </w:rPr>
        <w:t>Data subject to copyright, patent, trademark, confidentiality agreements, or trade secret protection;</w:t>
      </w:r>
    </w:p>
    <w:p w:rsidR="005E08EB" w:rsidRPr="005E08EB" w:rsidRDefault="005E08EB" w:rsidP="005E08EB">
      <w:pPr>
        <w:numPr>
          <w:ilvl w:val="2"/>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color w:val="343434"/>
          <w:sz w:val="21"/>
          <w:szCs w:val="21"/>
        </w:rPr>
        <w:t>Proprietary applications, computer code, software, operating systems, or similar materials;</w:t>
      </w:r>
    </w:p>
    <w:p w:rsidR="005E08EB" w:rsidRPr="005E08EB" w:rsidRDefault="005E08EB" w:rsidP="005E08EB">
      <w:pPr>
        <w:numPr>
          <w:ilvl w:val="2"/>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color w:val="343434"/>
          <w:sz w:val="21"/>
          <w:szCs w:val="21"/>
        </w:rPr>
        <w:t>Data related to internal state agency administration, including employment records, internal employee-related directories or lists, and facilities data;</w:t>
      </w:r>
    </w:p>
    <w:p w:rsidR="005E08EB" w:rsidRPr="005E08EB" w:rsidRDefault="005E08EB" w:rsidP="005E08EB">
      <w:pPr>
        <w:numPr>
          <w:ilvl w:val="2"/>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color w:val="343434"/>
          <w:sz w:val="21"/>
          <w:szCs w:val="21"/>
        </w:rPr>
        <w:t>Any unstructured data that cannot feasibly be converted to an open format as required by uniform standards adopted by the OCIO without undue financial, operative, or administrative burden on the state agency; or</w:t>
      </w:r>
    </w:p>
    <w:p w:rsidR="005E08EB" w:rsidRPr="005E08EB" w:rsidRDefault="005E08EB" w:rsidP="005E08EB">
      <w:pPr>
        <w:numPr>
          <w:ilvl w:val="2"/>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color w:val="343434"/>
          <w:sz w:val="21"/>
          <w:szCs w:val="21"/>
        </w:rPr>
        <w:t>Data or data sets classified as category 2 data pursuant to the state policy “Securing Information Technology Assets” (</w:t>
      </w:r>
      <w:hyperlink r:id="rId8" w:history="1">
        <w:r w:rsidRPr="005E08EB">
          <w:rPr>
            <w:rFonts w:eastAsia="Times New Roman" w:cs="Arial"/>
            <w:color w:val="06385B"/>
            <w:sz w:val="21"/>
            <w:szCs w:val="21"/>
            <w:u w:val="single"/>
          </w:rPr>
          <w:t>OCIO policy 141.10</w:t>
        </w:r>
      </w:hyperlink>
      <w:r w:rsidRPr="005E08EB">
        <w:rPr>
          <w:rFonts w:eastAsia="Times New Roman" w:cs="Arial"/>
          <w:color w:val="343434"/>
          <w:sz w:val="21"/>
          <w:szCs w:val="21"/>
        </w:rPr>
        <w:t> section 4) that the head of a state agency, after due consideration and consultation with the OCIO, determines should not be published on the open data portal because publication would be detrimental to the public interest.</w:t>
      </w:r>
    </w:p>
    <w:p w:rsidR="005E08EB" w:rsidRPr="005E08EB" w:rsidRDefault="005E08EB" w:rsidP="005E08EB">
      <w:pPr>
        <w:numPr>
          <w:ilvl w:val="0"/>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b/>
          <w:bCs/>
          <w:color w:val="343434"/>
          <w:sz w:val="21"/>
          <w:szCs w:val="21"/>
        </w:rPr>
        <w:t>Open Data Portal</w:t>
      </w:r>
      <w:r w:rsidRPr="005E08EB">
        <w:rPr>
          <w:rFonts w:eastAsia="Times New Roman" w:cs="Arial"/>
          <w:color w:val="343434"/>
          <w:sz w:val="21"/>
          <w:szCs w:val="21"/>
        </w:rPr>
        <w:t xml:space="preserve"> means a public-facing state-endorsed website that presents open data offerings from multiple agencies.  Currently these are: data.wa.gov (general purpose, tabular data), </w:t>
      </w:r>
      <w:r w:rsidRPr="005E08EB">
        <w:rPr>
          <w:rFonts w:eastAsia="Times New Roman" w:cs="Arial"/>
          <w:color w:val="343434"/>
          <w:sz w:val="21"/>
          <w:szCs w:val="21"/>
        </w:rPr>
        <w:lastRenderedPageBreak/>
        <w:t>geography.wa.gov (geospatial data), fiscal.wa.gov (fiscal data), and business.wa.gov (business data). Generally these sites use statewide hosted domains rather than agency-specific sub-domains and conform to the state standard on host naming criteria. </w:t>
      </w:r>
    </w:p>
    <w:p w:rsidR="005E08EB" w:rsidRPr="005E08EB" w:rsidRDefault="005E08EB" w:rsidP="005E08EB">
      <w:pPr>
        <w:numPr>
          <w:ilvl w:val="0"/>
          <w:numId w:val="24"/>
        </w:numPr>
        <w:shd w:val="clear" w:color="auto" w:fill="FFFFFF"/>
        <w:spacing w:before="100" w:beforeAutospacing="1" w:after="100" w:afterAutospacing="1" w:line="240" w:lineRule="auto"/>
        <w:rPr>
          <w:rFonts w:eastAsia="Times New Roman" w:cs="Arial"/>
          <w:color w:val="343434"/>
          <w:sz w:val="21"/>
          <w:szCs w:val="21"/>
        </w:rPr>
      </w:pPr>
      <w:r w:rsidRPr="005E08EB">
        <w:rPr>
          <w:rFonts w:eastAsia="Times New Roman" w:cs="Arial"/>
          <w:b/>
          <w:bCs/>
          <w:color w:val="343434"/>
          <w:sz w:val="21"/>
          <w:szCs w:val="21"/>
        </w:rPr>
        <w:t>Unstructured data</w:t>
      </w:r>
      <w:r w:rsidRPr="005E08EB">
        <w:rPr>
          <w:rFonts w:eastAsia="Times New Roman" w:cs="Arial"/>
          <w:color w:val="343434"/>
          <w:sz w:val="21"/>
          <w:szCs w:val="21"/>
        </w:rPr>
        <w:t> includes image files, such as designs, drawings, photos, narrative documents or scanned copies of original documents.</w:t>
      </w:r>
    </w:p>
    <w:p w:rsidR="005E08EB" w:rsidRPr="005E08EB" w:rsidRDefault="005E08EB" w:rsidP="005E08EB">
      <w:pPr>
        <w:pStyle w:val="Heading2"/>
        <w:rPr>
          <w:rFonts w:asciiTheme="minorHAnsi" w:hAnsiTheme="minorHAnsi"/>
        </w:rPr>
      </w:pPr>
      <w:r w:rsidRPr="005E08EB">
        <w:rPr>
          <w:rFonts w:asciiTheme="minorHAnsi" w:hAnsiTheme="minorHAnsi" w:cs="Arial"/>
          <w:color w:val="343434"/>
          <w:sz w:val="21"/>
          <w:szCs w:val="21"/>
        </w:rPr>
        <w:t> </w:t>
      </w:r>
      <w:r w:rsidRPr="005E08EB">
        <w:rPr>
          <w:rFonts w:asciiTheme="minorHAnsi" w:hAnsiTheme="minorHAnsi"/>
        </w:rPr>
        <w:t>CONTACT INFORMATION</w:t>
      </w:r>
    </w:p>
    <w:p w:rsidR="005E08EB" w:rsidRPr="005E08EB" w:rsidRDefault="005E08EB" w:rsidP="005E08EB">
      <w:pPr>
        <w:shd w:val="clear" w:color="auto" w:fill="FFFFFF"/>
        <w:spacing w:after="150" w:line="360" w:lineRule="atLeast"/>
        <w:rPr>
          <w:rFonts w:eastAsia="Times New Roman" w:cs="Arial"/>
          <w:color w:val="343434"/>
          <w:sz w:val="21"/>
          <w:szCs w:val="21"/>
        </w:rPr>
      </w:pPr>
      <w:r w:rsidRPr="005E08EB">
        <w:rPr>
          <w:rFonts w:eastAsia="Times New Roman" w:cs="Arial"/>
          <w:color w:val="343434"/>
          <w:sz w:val="21"/>
          <w:szCs w:val="21"/>
        </w:rPr>
        <w:t>Contact the Open Data Program Manager via the </w:t>
      </w:r>
      <w:hyperlink r:id="rId9" w:history="1">
        <w:r w:rsidRPr="005E08EB">
          <w:rPr>
            <w:rFonts w:eastAsia="Times New Roman" w:cs="Arial"/>
            <w:color w:val="06385B"/>
            <w:sz w:val="21"/>
            <w:szCs w:val="21"/>
            <w:u w:val="single"/>
          </w:rPr>
          <w:t>Open Data program web page</w:t>
        </w:r>
      </w:hyperlink>
      <w:r w:rsidRPr="005E08EB">
        <w:rPr>
          <w:rFonts w:eastAsia="Times New Roman" w:cs="Arial"/>
          <w:color w:val="343434"/>
          <w:sz w:val="21"/>
          <w:szCs w:val="21"/>
        </w:rPr>
        <w:t> for general information.</w:t>
      </w:r>
    </w:p>
    <w:p w:rsidR="005E08EB" w:rsidRPr="005E08EB" w:rsidRDefault="005E08EB" w:rsidP="005E08EB">
      <w:pPr>
        <w:shd w:val="clear" w:color="auto" w:fill="FFFFFF"/>
        <w:spacing w:after="150" w:line="360" w:lineRule="atLeast"/>
        <w:rPr>
          <w:rFonts w:eastAsia="Times New Roman" w:cs="Arial"/>
          <w:color w:val="343434"/>
          <w:sz w:val="21"/>
          <w:szCs w:val="21"/>
        </w:rPr>
      </w:pPr>
      <w:r w:rsidRPr="005E08EB">
        <w:rPr>
          <w:rFonts w:eastAsia="Times New Roman" w:cs="Arial"/>
          <w:color w:val="343434"/>
          <w:sz w:val="21"/>
          <w:szCs w:val="21"/>
        </w:rPr>
        <w:t>Contact the </w:t>
      </w:r>
      <w:hyperlink r:id="rId10" w:history="1">
        <w:r w:rsidRPr="005E08EB">
          <w:rPr>
            <w:rFonts w:eastAsia="Times New Roman" w:cs="Arial"/>
            <w:color w:val="06385B"/>
            <w:sz w:val="21"/>
            <w:szCs w:val="21"/>
            <w:u w:val="single"/>
          </w:rPr>
          <w:t>OCIO Policy &amp; Waiver Mailbox</w:t>
        </w:r>
      </w:hyperlink>
      <w:r w:rsidRPr="005E08EB">
        <w:rPr>
          <w:rFonts w:eastAsia="Times New Roman" w:cs="Arial"/>
          <w:color w:val="343434"/>
          <w:sz w:val="21"/>
          <w:szCs w:val="21"/>
        </w:rPr>
        <w:t> for additional information or to request a waiver.</w:t>
      </w:r>
    </w:p>
    <w:p w:rsidR="00A37E58" w:rsidRPr="0077121B" w:rsidRDefault="00A37E58" w:rsidP="005E08EB">
      <w:pPr>
        <w:pStyle w:val="Heading2"/>
      </w:pPr>
    </w:p>
    <w:sectPr w:rsidR="00A37E58" w:rsidRPr="0077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97B4C"/>
    <w:multiLevelType w:val="multilevel"/>
    <w:tmpl w:val="BE10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52D5E"/>
    <w:multiLevelType w:val="multilevel"/>
    <w:tmpl w:val="53BC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4698A"/>
    <w:multiLevelType w:val="multilevel"/>
    <w:tmpl w:val="4BAA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4160A"/>
    <w:multiLevelType w:val="multilevel"/>
    <w:tmpl w:val="57BC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8650C"/>
    <w:multiLevelType w:val="multilevel"/>
    <w:tmpl w:val="9C8C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4149A"/>
    <w:multiLevelType w:val="multilevel"/>
    <w:tmpl w:val="14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77CBC"/>
    <w:multiLevelType w:val="multilevel"/>
    <w:tmpl w:val="399C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97B2E"/>
    <w:multiLevelType w:val="multilevel"/>
    <w:tmpl w:val="EA94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D817E7"/>
    <w:multiLevelType w:val="multilevel"/>
    <w:tmpl w:val="7D78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B112A"/>
    <w:multiLevelType w:val="multilevel"/>
    <w:tmpl w:val="4426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1D48DF"/>
    <w:multiLevelType w:val="multilevel"/>
    <w:tmpl w:val="A3FA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840B3"/>
    <w:multiLevelType w:val="multilevel"/>
    <w:tmpl w:val="CF4A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A2C55"/>
    <w:multiLevelType w:val="multilevel"/>
    <w:tmpl w:val="F83E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B7C29"/>
    <w:multiLevelType w:val="multilevel"/>
    <w:tmpl w:val="FEE8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90F24"/>
    <w:multiLevelType w:val="multilevel"/>
    <w:tmpl w:val="111A7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C15AF8"/>
    <w:multiLevelType w:val="multilevel"/>
    <w:tmpl w:val="6408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323800"/>
    <w:multiLevelType w:val="multilevel"/>
    <w:tmpl w:val="4F62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108D5"/>
    <w:multiLevelType w:val="multilevel"/>
    <w:tmpl w:val="29B42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B0E02"/>
    <w:multiLevelType w:val="multilevel"/>
    <w:tmpl w:val="4B92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A86D4B"/>
    <w:multiLevelType w:val="multilevel"/>
    <w:tmpl w:val="4AFE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96455E"/>
    <w:multiLevelType w:val="multilevel"/>
    <w:tmpl w:val="D4BC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02A9C"/>
    <w:multiLevelType w:val="multilevel"/>
    <w:tmpl w:val="B030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86F04"/>
    <w:multiLevelType w:val="multilevel"/>
    <w:tmpl w:val="92BC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192D89"/>
    <w:multiLevelType w:val="multilevel"/>
    <w:tmpl w:val="25C2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6"/>
  </w:num>
  <w:num w:numId="4">
    <w:abstractNumId w:val="20"/>
  </w:num>
  <w:num w:numId="5">
    <w:abstractNumId w:val="1"/>
  </w:num>
  <w:num w:numId="6">
    <w:abstractNumId w:val="22"/>
  </w:num>
  <w:num w:numId="7">
    <w:abstractNumId w:val="2"/>
  </w:num>
  <w:num w:numId="8">
    <w:abstractNumId w:val="7"/>
  </w:num>
  <w:num w:numId="9">
    <w:abstractNumId w:val="18"/>
  </w:num>
  <w:num w:numId="10">
    <w:abstractNumId w:val="23"/>
  </w:num>
  <w:num w:numId="11">
    <w:abstractNumId w:val="19"/>
  </w:num>
  <w:num w:numId="12">
    <w:abstractNumId w:val="0"/>
  </w:num>
  <w:num w:numId="13">
    <w:abstractNumId w:val="12"/>
  </w:num>
  <w:num w:numId="14">
    <w:abstractNumId w:val="15"/>
  </w:num>
  <w:num w:numId="15">
    <w:abstractNumId w:val="16"/>
  </w:num>
  <w:num w:numId="16">
    <w:abstractNumId w:val="9"/>
  </w:num>
  <w:num w:numId="17">
    <w:abstractNumId w:val="5"/>
  </w:num>
  <w:num w:numId="18">
    <w:abstractNumId w:val="13"/>
  </w:num>
  <w:num w:numId="19">
    <w:abstractNumId w:val="10"/>
  </w:num>
  <w:num w:numId="20">
    <w:abstractNumId w:val="21"/>
  </w:num>
  <w:num w:numId="21">
    <w:abstractNumId w:val="17"/>
  </w:num>
  <w:num w:numId="22">
    <w:abstractNumId w:val="11"/>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79"/>
    <w:rsid w:val="00290079"/>
    <w:rsid w:val="005E08EB"/>
    <w:rsid w:val="0077121B"/>
    <w:rsid w:val="00A3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8BC2E-5360-4FE4-BC26-3B6C373B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00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00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00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0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00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007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00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0079"/>
    <w:rPr>
      <w:color w:val="0000FF"/>
      <w:u w:val="single"/>
    </w:rPr>
  </w:style>
  <w:style w:type="character" w:customStyle="1" w:styleId="element-invisible">
    <w:name w:val="element-invisible"/>
    <w:basedOn w:val="DefaultParagraphFont"/>
    <w:rsid w:val="00290079"/>
  </w:style>
  <w:style w:type="character" w:customStyle="1" w:styleId="apple-converted-space">
    <w:name w:val="apple-converted-space"/>
    <w:basedOn w:val="DefaultParagraphFont"/>
    <w:rsid w:val="00290079"/>
  </w:style>
  <w:style w:type="paragraph" w:customStyle="1" w:styleId="rteindent1">
    <w:name w:val="rteindent1"/>
    <w:basedOn w:val="Normal"/>
    <w:rsid w:val="002900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08EB"/>
    <w:rPr>
      <w:i/>
      <w:iCs/>
    </w:rPr>
  </w:style>
  <w:style w:type="character" w:styleId="Strong">
    <w:name w:val="Strong"/>
    <w:basedOn w:val="DefaultParagraphFont"/>
    <w:uiPriority w:val="22"/>
    <w:qFormat/>
    <w:rsid w:val="005E0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338218">
      <w:bodyDiv w:val="1"/>
      <w:marLeft w:val="0"/>
      <w:marRight w:val="0"/>
      <w:marTop w:val="0"/>
      <w:marBottom w:val="0"/>
      <w:divBdr>
        <w:top w:val="none" w:sz="0" w:space="0" w:color="auto"/>
        <w:left w:val="none" w:sz="0" w:space="0" w:color="auto"/>
        <w:bottom w:val="none" w:sz="0" w:space="0" w:color="auto"/>
        <w:right w:val="none" w:sz="0" w:space="0" w:color="auto"/>
      </w:divBdr>
      <w:divsChild>
        <w:div w:id="563029279">
          <w:marLeft w:val="0"/>
          <w:marRight w:val="0"/>
          <w:marTop w:val="0"/>
          <w:marBottom w:val="0"/>
          <w:divBdr>
            <w:top w:val="none" w:sz="0" w:space="0" w:color="auto"/>
            <w:left w:val="none" w:sz="0" w:space="0" w:color="auto"/>
            <w:bottom w:val="none" w:sz="0" w:space="0" w:color="auto"/>
            <w:right w:val="none" w:sz="0" w:space="0" w:color="auto"/>
          </w:divBdr>
        </w:div>
        <w:div w:id="873544338">
          <w:marLeft w:val="0"/>
          <w:marRight w:val="0"/>
          <w:marTop w:val="0"/>
          <w:marBottom w:val="0"/>
          <w:divBdr>
            <w:top w:val="none" w:sz="0" w:space="0" w:color="auto"/>
            <w:left w:val="none" w:sz="0" w:space="0" w:color="auto"/>
            <w:bottom w:val="none" w:sz="0" w:space="0" w:color="auto"/>
            <w:right w:val="none" w:sz="0" w:space="0" w:color="auto"/>
          </w:divBdr>
        </w:div>
        <w:div w:id="256409193">
          <w:marLeft w:val="0"/>
          <w:marRight w:val="0"/>
          <w:marTop w:val="0"/>
          <w:marBottom w:val="0"/>
          <w:divBdr>
            <w:top w:val="none" w:sz="0" w:space="0" w:color="auto"/>
            <w:left w:val="none" w:sz="0" w:space="0" w:color="auto"/>
            <w:bottom w:val="none" w:sz="0" w:space="0" w:color="auto"/>
            <w:right w:val="none" w:sz="0" w:space="0" w:color="auto"/>
          </w:divBdr>
        </w:div>
      </w:divsChild>
    </w:div>
    <w:div w:id="1221482145">
      <w:bodyDiv w:val="1"/>
      <w:marLeft w:val="0"/>
      <w:marRight w:val="0"/>
      <w:marTop w:val="0"/>
      <w:marBottom w:val="0"/>
      <w:divBdr>
        <w:top w:val="none" w:sz="0" w:space="0" w:color="auto"/>
        <w:left w:val="none" w:sz="0" w:space="0" w:color="auto"/>
        <w:bottom w:val="none" w:sz="0" w:space="0" w:color="auto"/>
        <w:right w:val="none" w:sz="0" w:space="0" w:color="auto"/>
      </w:divBdr>
    </w:div>
    <w:div w:id="1634553580">
      <w:bodyDiv w:val="1"/>
      <w:marLeft w:val="0"/>
      <w:marRight w:val="0"/>
      <w:marTop w:val="0"/>
      <w:marBottom w:val="0"/>
      <w:divBdr>
        <w:top w:val="none" w:sz="0" w:space="0" w:color="auto"/>
        <w:left w:val="none" w:sz="0" w:space="0" w:color="auto"/>
        <w:bottom w:val="none" w:sz="0" w:space="0" w:color="auto"/>
        <w:right w:val="none" w:sz="0" w:space="0" w:color="auto"/>
      </w:divBdr>
      <w:divsChild>
        <w:div w:id="1826243004">
          <w:marLeft w:val="0"/>
          <w:marRight w:val="0"/>
          <w:marTop w:val="0"/>
          <w:marBottom w:val="0"/>
          <w:divBdr>
            <w:top w:val="none" w:sz="0" w:space="0" w:color="auto"/>
            <w:left w:val="none" w:sz="0" w:space="0" w:color="auto"/>
            <w:bottom w:val="none" w:sz="0" w:space="0" w:color="auto"/>
            <w:right w:val="none" w:sz="0" w:space="0" w:color="auto"/>
          </w:divBdr>
        </w:div>
        <w:div w:id="883715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io.wa.gov/policies/141-securing-information-technology-assets/14110-securing-information-technology-assets" TargetMode="External"/><Relationship Id="rId3" Type="http://schemas.openxmlformats.org/officeDocument/2006/relationships/settings" Target="settings.xml"/><Relationship Id="rId7" Type="http://schemas.openxmlformats.org/officeDocument/2006/relationships/hyperlink" Target="http://ocio.wa.gov/policies/141-securing-information-technology-assets/14110-securing-information-technology-asse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cio.wa.gov/policies/101-technology-policies-and-standards" TargetMode="External"/><Relationship Id="rId11" Type="http://schemas.openxmlformats.org/officeDocument/2006/relationships/fontTable" Target="fontTable.xml"/><Relationship Id="rId5" Type="http://schemas.openxmlformats.org/officeDocument/2006/relationships/hyperlink" Target="http://ocio.wa.gov/policies/101-technology-policies-and-standards" TargetMode="External"/><Relationship Id="rId10" Type="http://schemas.openxmlformats.org/officeDocument/2006/relationships/hyperlink" Target="mailto:ocio.policy@ocio.wa.gov?subject=Policy%20113%3A%20TBM%20Info%20or%20Waiver%20Request" TargetMode="External"/><Relationship Id="rId4" Type="http://schemas.openxmlformats.org/officeDocument/2006/relationships/webSettings" Target="webSettings.xml"/><Relationship Id="rId9" Type="http://schemas.openxmlformats.org/officeDocument/2006/relationships/hyperlink" Target="http://ocio.wa.gov/programs/open-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Wickstrom, Wendy (WaTech)</dc:creator>
  <cp:keywords/>
  <dc:description/>
  <cp:lastModifiedBy>Wickstrom, Wendy (WaTech)</cp:lastModifiedBy>
  <cp:revision>2</cp:revision>
  <dcterms:created xsi:type="dcterms:W3CDTF">2016-12-19T20:13:00Z</dcterms:created>
  <dcterms:modified xsi:type="dcterms:W3CDTF">2016-12-19T20:13:00Z</dcterms:modified>
</cp:coreProperties>
</file>