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7F9CB4A9" w14:textId="0FB4BD66" w:rsidR="00B82DA4" w:rsidRPr="009077E8" w:rsidRDefault="00B82DA4" w:rsidP="00B82DA4">
      <w:pPr>
        <w:pBdr>
          <w:bottom w:val="single" w:sz="4" w:space="1" w:color="auto"/>
        </w:pBdr>
        <w:spacing w:line="360" w:lineRule="auto"/>
        <w:ind w:right="72"/>
        <w:jc w:val="center"/>
        <w:rPr>
          <w:b/>
          <w:bCs/>
          <w:sz w:val="32"/>
          <w:szCs w:val="32"/>
        </w:rPr>
      </w:pPr>
      <w:r>
        <w:rPr>
          <w:b/>
          <w:bCs/>
          <w:sz w:val="32"/>
          <w:szCs w:val="32"/>
        </w:rPr>
        <w:t>25-RFQ-</w:t>
      </w:r>
      <w:r w:rsidR="00BC5EAC">
        <w:rPr>
          <w:b/>
          <w:bCs/>
          <w:sz w:val="32"/>
          <w:szCs w:val="32"/>
        </w:rPr>
        <w:t>0</w:t>
      </w:r>
      <w:r w:rsidR="00EF73AF">
        <w:rPr>
          <w:b/>
          <w:bCs/>
          <w:sz w:val="32"/>
          <w:szCs w:val="32"/>
        </w:rPr>
        <w:t>3</w:t>
      </w:r>
      <w:r w:rsidR="00A70E1A">
        <w:rPr>
          <w:b/>
          <w:bCs/>
          <w:sz w:val="32"/>
          <w:szCs w:val="32"/>
        </w:rPr>
        <w:t>2</w:t>
      </w:r>
    </w:p>
    <w:p w14:paraId="39CBA324" w14:textId="4A175273" w:rsidR="00B82DA4" w:rsidRDefault="00B82DA4" w:rsidP="00B82DA4">
      <w:pPr>
        <w:pBdr>
          <w:bottom w:val="single" w:sz="4" w:space="1" w:color="auto"/>
        </w:pBdr>
        <w:spacing w:line="360" w:lineRule="auto"/>
        <w:ind w:right="72"/>
        <w:jc w:val="center"/>
        <w:rPr>
          <w:b/>
          <w:bCs/>
        </w:rPr>
      </w:pPr>
      <w:r>
        <w:rPr>
          <w:b/>
          <w:bCs/>
        </w:rPr>
        <w:t xml:space="preserve">Released: </w:t>
      </w:r>
      <w:r w:rsidR="00EF73AF">
        <w:rPr>
          <w:b/>
          <w:bCs/>
        </w:rPr>
        <w:t xml:space="preserve">April </w:t>
      </w:r>
      <w:r w:rsidR="00A70E1A">
        <w:rPr>
          <w:b/>
          <w:bCs/>
        </w:rPr>
        <w:t>23</w:t>
      </w:r>
      <w:r w:rsidR="00D86F5B">
        <w:rPr>
          <w:b/>
          <w:bCs/>
        </w:rPr>
        <w:t>, 2025</w:t>
      </w:r>
    </w:p>
    <w:p w14:paraId="543E7DB5" w14:textId="13709731" w:rsidR="00B82DA4" w:rsidRDefault="00B82DA4" w:rsidP="00B82DA4">
      <w:pPr>
        <w:pBdr>
          <w:bottom w:val="single" w:sz="4" w:space="1" w:color="auto"/>
        </w:pBdr>
        <w:spacing w:line="360" w:lineRule="auto"/>
        <w:ind w:right="72"/>
        <w:jc w:val="center"/>
        <w:rPr>
          <w:b/>
          <w:bCs/>
        </w:rPr>
      </w:pPr>
      <w:r>
        <w:rPr>
          <w:b/>
          <w:bCs/>
        </w:rPr>
        <w:t xml:space="preserve">Responses Due: </w:t>
      </w:r>
      <w:r w:rsidR="00A70E1A">
        <w:rPr>
          <w:b/>
          <w:bCs/>
        </w:rPr>
        <w:t>May 14</w:t>
      </w:r>
      <w:r w:rsidR="00BC5EAC">
        <w:rPr>
          <w:b/>
          <w:bCs/>
        </w:rPr>
        <w:t xml:space="preserve">, </w:t>
      </w:r>
      <w:r>
        <w:rPr>
          <w:b/>
          <w:bCs/>
        </w:rPr>
        <w:t>2025</w:t>
      </w:r>
    </w:p>
    <w:p w14:paraId="4B61CF7A" w14:textId="77777777" w:rsidR="00AE4C71" w:rsidRDefault="00AE4C71" w:rsidP="003E57E7">
      <w:pPr>
        <w:spacing w:line="360" w:lineRule="auto"/>
        <w:rPr>
          <w:b/>
          <w:bCs/>
        </w:rPr>
      </w:pPr>
    </w:p>
    <w:p w14:paraId="026159BC" w14:textId="5734B5C2"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D84088">
        <w:rPr>
          <w:b/>
          <w:bCs/>
        </w:rPr>
        <w:t>Network Services Agreement</w:t>
      </w:r>
      <w:r w:rsidRPr="00036025">
        <w:rPr>
          <w:b/>
          <w:bCs/>
        </w:rPr>
        <w:t xml:space="preserve">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D84088">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23B73C0D"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w:t>
      </w:r>
      <w:r w:rsidR="00D84088">
        <w:rPr>
          <w:b/>
          <w:bCs/>
        </w:rPr>
        <w:t>NSA</w:t>
      </w:r>
      <w:r w:rsidR="00295C74" w:rsidRPr="00036025">
        <w:rPr>
          <w:b/>
          <w:bCs/>
        </w:rPr>
        <w:t xml:space="preserve">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C5EAC" w:rsidRDefault="00680247" w:rsidP="00680247">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sidR="00AA1133" w:rsidRPr="00BC5EAC">
        <w:rPr>
          <w:b/>
          <w:bCs/>
        </w:rPr>
        <w:t>Jessica Smith</w:t>
      </w:r>
    </w:p>
    <w:p w14:paraId="7AE58E57" w14:textId="1BB14212" w:rsidR="00680247" w:rsidRPr="00BC5EAC" w:rsidRDefault="00680247" w:rsidP="00680247">
      <w:pPr>
        <w:pStyle w:val="ListParagraph"/>
        <w:spacing w:before="240" w:after="60" w:line="360" w:lineRule="auto"/>
        <w:rPr>
          <w:b/>
          <w:bCs/>
        </w:rPr>
      </w:pPr>
      <w:r w:rsidRPr="00BC5EAC">
        <w:rPr>
          <w:b/>
          <w:bCs/>
        </w:rPr>
        <w:t xml:space="preserve">E-mail Address: </w:t>
      </w:r>
      <w:r w:rsidRPr="00BC5EAC">
        <w:rPr>
          <w:b/>
          <w:bCs/>
        </w:rPr>
        <w:tab/>
      </w:r>
      <w:hyperlink r:id="rId12" w:history="1">
        <w:r w:rsidR="00AA1133" w:rsidRPr="00BC5EAC">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C5EAC">
        <w:rPr>
          <w:b/>
          <w:bCs/>
        </w:rPr>
        <w:t xml:space="preserve">Phone: </w:t>
      </w:r>
      <w:r w:rsidRPr="00BC5EAC">
        <w:rPr>
          <w:b/>
          <w:bCs/>
        </w:rPr>
        <w:tab/>
      </w:r>
      <w:r w:rsidRPr="00BC5EAC">
        <w:rPr>
          <w:b/>
          <w:bCs/>
        </w:rPr>
        <w:tab/>
        <w:t>360.407.</w:t>
      </w:r>
      <w:r w:rsidR="007B011A" w:rsidRPr="00BC5EAC">
        <w:rPr>
          <w:b/>
          <w:bCs/>
        </w:rPr>
        <w:t>8</w:t>
      </w:r>
      <w:r w:rsidR="00AA1133" w:rsidRPr="00BC5EAC">
        <w:rPr>
          <w:b/>
          <w:bCs/>
        </w:rPr>
        <w:t>655</w:t>
      </w:r>
    </w:p>
    <w:p w14:paraId="0676144A" w14:textId="77777777" w:rsidR="00D86F5B" w:rsidRDefault="00D86F5B" w:rsidP="00680247">
      <w:pPr>
        <w:pStyle w:val="ListParagraph"/>
        <w:spacing w:before="240" w:after="60" w:line="360" w:lineRule="auto"/>
        <w:rPr>
          <w:b/>
          <w:bCs/>
        </w:rPr>
      </w:pPr>
    </w:p>
    <w:p w14:paraId="25D5D55D" w14:textId="12A152C3" w:rsidR="00D86F5B" w:rsidRDefault="00D86F5B" w:rsidP="00680247">
      <w:pPr>
        <w:pStyle w:val="ListParagraph"/>
        <w:spacing w:before="240" w:after="60" w:line="360" w:lineRule="auto"/>
        <w:rPr>
          <w:b/>
          <w:bCs/>
          <w:u w:val="single"/>
        </w:rPr>
      </w:pPr>
      <w:r w:rsidRPr="00D86F5B">
        <w:rPr>
          <w:b/>
          <w:bCs/>
          <w:u w:val="single"/>
        </w:rPr>
        <w:t>Backup RFQ Coordinator</w:t>
      </w:r>
    </w:p>
    <w:p w14:paraId="43A0DC20" w14:textId="4FDCCE57" w:rsidR="00D86F5B" w:rsidRPr="00BC5EAC" w:rsidRDefault="00D86F5B" w:rsidP="00D86F5B">
      <w:pPr>
        <w:pStyle w:val="ListParagraph"/>
        <w:spacing w:before="240" w:after="60" w:line="360" w:lineRule="auto"/>
        <w:rPr>
          <w:b/>
          <w:bCs/>
        </w:rPr>
      </w:pPr>
      <w:r w:rsidRPr="00BC5EAC">
        <w:rPr>
          <w:b/>
          <w:bCs/>
        </w:rPr>
        <w:t>Contact Name:</w:t>
      </w:r>
      <w:r w:rsidRPr="00BC5EAC">
        <w:rPr>
          <w:b/>
          <w:bCs/>
        </w:rPr>
        <w:tab/>
      </w:r>
      <w:r>
        <w:rPr>
          <w:b/>
          <w:bCs/>
        </w:rPr>
        <w:t>Michael Callahan</w:t>
      </w:r>
    </w:p>
    <w:p w14:paraId="0D29827B" w14:textId="1881E08E" w:rsidR="00D86F5B" w:rsidRPr="00BC5EAC" w:rsidRDefault="00D86F5B" w:rsidP="00D86F5B">
      <w:pPr>
        <w:pStyle w:val="ListParagraph"/>
        <w:spacing w:before="240" w:after="60" w:line="360" w:lineRule="auto"/>
        <w:rPr>
          <w:b/>
          <w:bCs/>
        </w:rPr>
      </w:pPr>
      <w:r w:rsidRPr="00BC5EAC">
        <w:rPr>
          <w:b/>
          <w:bCs/>
        </w:rPr>
        <w:t xml:space="preserve">E-mail Address: </w:t>
      </w:r>
      <w:r w:rsidRPr="00BC5EAC">
        <w:rPr>
          <w:b/>
          <w:bCs/>
        </w:rPr>
        <w:tab/>
      </w:r>
      <w:hyperlink r:id="rId13" w:history="1">
        <w:r w:rsidRPr="00816BB9">
          <w:rPr>
            <w:rStyle w:val="Hyperlink"/>
            <w:b/>
            <w:bCs/>
          </w:rPr>
          <w:t>michael.callahan@watech.wa.gov</w:t>
        </w:r>
      </w:hyperlink>
    </w:p>
    <w:p w14:paraId="0C7F6DC5" w14:textId="4AAB1497" w:rsidR="00D86F5B" w:rsidRDefault="00D86F5B" w:rsidP="00D86F5B">
      <w:pPr>
        <w:pStyle w:val="ListParagraph"/>
        <w:spacing w:before="240" w:after="60" w:line="360" w:lineRule="auto"/>
        <w:rPr>
          <w:b/>
          <w:bCs/>
        </w:rPr>
      </w:pPr>
      <w:r w:rsidRPr="00BC5EAC">
        <w:rPr>
          <w:b/>
          <w:bCs/>
        </w:rPr>
        <w:t xml:space="preserve">Phone: </w:t>
      </w:r>
      <w:r w:rsidRPr="00BC5EAC">
        <w:rPr>
          <w:b/>
          <w:bCs/>
        </w:rPr>
        <w:tab/>
      </w:r>
      <w:r w:rsidRPr="00BC5EAC">
        <w:rPr>
          <w:b/>
          <w:bCs/>
        </w:rPr>
        <w:tab/>
        <w:t>360.407.8</w:t>
      </w:r>
      <w:r>
        <w:rPr>
          <w:b/>
          <w:bCs/>
        </w:rPr>
        <w:t>765</w:t>
      </w:r>
    </w:p>
    <w:p w14:paraId="15182605" w14:textId="77777777" w:rsidR="00D86F5B" w:rsidRDefault="00D86F5B" w:rsidP="00B53F1F">
      <w:pPr>
        <w:pStyle w:val="Style1"/>
        <w:rPr>
          <w:sz w:val="24"/>
        </w:rPr>
      </w:pPr>
    </w:p>
    <w:p w14:paraId="794ECAE7" w14:textId="2041BDB9" w:rsidR="00B53F1F" w:rsidRDefault="00B82DA4"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w:t>
      </w:r>
      <w:r w:rsidRPr="009F382D">
        <w:lastRenderedPageBreak/>
        <w:t xml:space="preserve">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3901EBCF"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D84088">
        <w:t>Network Services Agreement</w:t>
      </w:r>
      <w:r>
        <w:t xml:space="preserve"> and Technical Addendum unless otherwise stated by </w:t>
      </w:r>
      <w:r w:rsidR="0060744C">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82DA4" w14:paraId="16689287" w14:textId="77777777" w:rsidTr="00BC5EAC">
        <w:trPr>
          <w:trHeight w:val="590"/>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03780C15" w14:textId="5A7E0C78" w:rsidR="00B82DA4" w:rsidRPr="00BC5EAC" w:rsidRDefault="00EF73AF" w:rsidP="00B82DA4">
            <w:pPr>
              <w:spacing w:before="216" w:after="72" w:line="259" w:lineRule="auto"/>
              <w:jc w:val="center"/>
            </w:pPr>
            <w:r>
              <w:rPr>
                <w:rFonts w:eastAsiaTheme="minorHAnsi"/>
              </w:rPr>
              <w:t>04/</w:t>
            </w:r>
            <w:r w:rsidR="00A70E1A">
              <w:rPr>
                <w:rFonts w:eastAsiaTheme="minorHAnsi"/>
              </w:rPr>
              <w:t>23</w:t>
            </w:r>
            <w:r>
              <w:rPr>
                <w:rFonts w:eastAsiaTheme="minorHAnsi"/>
              </w:rPr>
              <w:t>/</w:t>
            </w:r>
            <w:r w:rsidR="00BC5EAC" w:rsidRPr="00BC5EAC">
              <w:rPr>
                <w:rFonts w:eastAsiaTheme="minorHAnsi"/>
              </w:rPr>
              <w:t>2025</w:t>
            </w:r>
          </w:p>
        </w:tc>
        <w:tc>
          <w:tcPr>
            <w:tcW w:w="5561" w:type="dxa"/>
            <w:tcBorders>
              <w:left w:val="single" w:sz="4" w:space="0" w:color="auto"/>
            </w:tcBorders>
            <w:shd w:val="clear" w:color="auto" w:fill="auto"/>
            <w:hideMark/>
          </w:tcPr>
          <w:p w14:paraId="2F74297E" w14:textId="77777777" w:rsidR="00B82DA4" w:rsidRDefault="00B82DA4" w:rsidP="00B82DA4">
            <w:pPr>
              <w:spacing w:before="216" w:after="72"/>
              <w:rPr>
                <w:rFonts w:ascii="Calibri" w:eastAsiaTheme="minorHAnsi" w:hAnsi="Calibri"/>
              </w:rPr>
            </w:pPr>
            <w:r>
              <w:t>Solicitation released</w:t>
            </w:r>
          </w:p>
        </w:tc>
      </w:tr>
      <w:tr w:rsidR="00B82DA4" w14:paraId="550F208C" w14:textId="77777777" w:rsidTr="00BC5EAC">
        <w:tc>
          <w:tcPr>
            <w:tcW w:w="2264" w:type="dxa"/>
            <w:tcBorders>
              <w:top w:val="single" w:sz="4" w:space="0" w:color="auto"/>
              <w:left w:val="single" w:sz="4" w:space="0" w:color="auto"/>
              <w:bottom w:val="single" w:sz="4" w:space="0" w:color="auto"/>
              <w:right w:val="single" w:sz="4" w:space="0" w:color="auto"/>
            </w:tcBorders>
            <w:shd w:val="clear" w:color="auto" w:fill="auto"/>
          </w:tcPr>
          <w:p w14:paraId="44CA1105" w14:textId="794338C5" w:rsidR="00B82DA4" w:rsidRPr="00BC5EAC" w:rsidRDefault="00FB46ED" w:rsidP="00B82DA4">
            <w:pPr>
              <w:spacing w:before="216" w:after="72"/>
              <w:jc w:val="center"/>
              <w:rPr>
                <w:rFonts w:eastAsiaTheme="minorEastAsia"/>
              </w:rPr>
            </w:pPr>
            <w:r>
              <w:rPr>
                <w:rFonts w:eastAsiaTheme="minorHAnsi"/>
              </w:rPr>
              <w:t>04/</w:t>
            </w:r>
            <w:r w:rsidR="00A70E1A">
              <w:rPr>
                <w:rFonts w:eastAsiaTheme="minorHAnsi"/>
              </w:rPr>
              <w:t>29</w:t>
            </w:r>
            <w:r w:rsidR="00B82DA4" w:rsidRPr="00BC5EAC">
              <w:rPr>
                <w:rFonts w:eastAsiaTheme="minorHAnsi"/>
              </w:rPr>
              <w:t>/2025</w:t>
            </w:r>
          </w:p>
        </w:tc>
        <w:tc>
          <w:tcPr>
            <w:tcW w:w="5561" w:type="dxa"/>
            <w:tcBorders>
              <w:left w:val="single" w:sz="4" w:space="0" w:color="auto"/>
            </w:tcBorders>
            <w:shd w:val="clear" w:color="auto" w:fill="auto"/>
            <w:hideMark/>
          </w:tcPr>
          <w:p w14:paraId="16FBCDB4" w14:textId="35633DFE" w:rsidR="00B82DA4" w:rsidRDefault="00B82DA4" w:rsidP="00B82DA4">
            <w:pPr>
              <w:spacing w:before="216" w:after="72"/>
              <w:rPr>
                <w:rFonts w:ascii="Calibri" w:eastAsiaTheme="minorEastAsia" w:hAnsi="Calibri"/>
              </w:rPr>
            </w:pPr>
            <w:r>
              <w:t xml:space="preserve">Final Contractor Comments and Questions due by </w:t>
            </w:r>
            <w:r w:rsidRPr="07B152BB">
              <w:rPr>
                <w:b/>
                <w:bCs/>
              </w:rPr>
              <w:t>12:00 p.m.</w:t>
            </w:r>
            <w:r>
              <w:t xml:space="preserve"> Olympia, WA Time </w:t>
            </w:r>
          </w:p>
        </w:tc>
      </w:tr>
      <w:tr w:rsidR="00B82DA4" w14:paraId="08DE2A8B" w14:textId="77777777" w:rsidTr="00BC5EAC">
        <w:tc>
          <w:tcPr>
            <w:tcW w:w="2264" w:type="dxa"/>
            <w:tcBorders>
              <w:top w:val="single" w:sz="4" w:space="0" w:color="auto"/>
            </w:tcBorders>
            <w:shd w:val="clear" w:color="auto" w:fill="auto"/>
          </w:tcPr>
          <w:p w14:paraId="40607081" w14:textId="12BFB369" w:rsidR="00B82DA4" w:rsidRPr="00BC5EAC" w:rsidRDefault="00A70E1A" w:rsidP="00B82DA4">
            <w:pPr>
              <w:spacing w:before="216" w:after="72"/>
              <w:jc w:val="center"/>
              <w:rPr>
                <w:rFonts w:eastAsiaTheme="minorEastAsia"/>
              </w:rPr>
            </w:pPr>
            <w:r>
              <w:rPr>
                <w:rFonts w:eastAsiaTheme="minorHAnsi"/>
              </w:rPr>
              <w:t>05/01</w:t>
            </w:r>
            <w:r w:rsidR="00BC5EAC">
              <w:rPr>
                <w:rFonts w:eastAsiaTheme="minorHAnsi"/>
              </w:rPr>
              <w:t>/</w:t>
            </w:r>
            <w:r w:rsidR="00B82DA4" w:rsidRPr="00BC5EAC">
              <w:rPr>
                <w:rFonts w:eastAsiaTheme="minorHAnsi"/>
              </w:rPr>
              <w:t>2025</w:t>
            </w:r>
          </w:p>
        </w:tc>
        <w:tc>
          <w:tcPr>
            <w:tcW w:w="5561" w:type="dxa"/>
            <w:shd w:val="clear" w:color="auto" w:fill="auto"/>
            <w:hideMark/>
          </w:tcPr>
          <w:p w14:paraId="4EC8CFF1" w14:textId="0EA7D3C3" w:rsidR="00B82DA4" w:rsidRPr="00BC5EAC" w:rsidRDefault="00B82DA4" w:rsidP="00B82DA4">
            <w:pPr>
              <w:spacing w:before="216" w:after="72"/>
              <w:rPr>
                <w:rFonts w:ascii="Calibri" w:eastAsiaTheme="minorHAnsi" w:hAnsi="Calibri"/>
              </w:rPr>
            </w:pPr>
            <w:r w:rsidRPr="00BC5EAC">
              <w:t>WaTech’s Final Written Answers Issued</w:t>
            </w:r>
          </w:p>
        </w:tc>
      </w:tr>
      <w:tr w:rsidR="00B82DA4" w14:paraId="79DF34B0" w14:textId="77777777" w:rsidTr="00BC5EAC">
        <w:tc>
          <w:tcPr>
            <w:tcW w:w="2264" w:type="dxa"/>
            <w:tcBorders>
              <w:bottom w:val="single" w:sz="4" w:space="0" w:color="auto"/>
            </w:tcBorders>
            <w:shd w:val="clear" w:color="auto" w:fill="auto"/>
          </w:tcPr>
          <w:p w14:paraId="7EBE3DB8" w14:textId="540FC72E" w:rsidR="00B82DA4" w:rsidRPr="00BC5EAC" w:rsidRDefault="00A70E1A" w:rsidP="00B82DA4">
            <w:pPr>
              <w:spacing w:before="216" w:after="72"/>
              <w:jc w:val="center"/>
              <w:rPr>
                <w:rFonts w:eastAsiaTheme="minorEastAsia"/>
              </w:rPr>
            </w:pPr>
            <w:r>
              <w:rPr>
                <w:rFonts w:eastAsiaTheme="minorHAnsi"/>
              </w:rPr>
              <w:t>05/02</w:t>
            </w:r>
            <w:r w:rsidR="00B82DA4" w:rsidRPr="00BC5EAC">
              <w:rPr>
                <w:rFonts w:eastAsiaTheme="minorHAnsi"/>
              </w:rPr>
              <w:t>/2025</w:t>
            </w:r>
          </w:p>
        </w:tc>
        <w:tc>
          <w:tcPr>
            <w:tcW w:w="5561" w:type="dxa"/>
            <w:shd w:val="clear" w:color="auto" w:fill="auto"/>
          </w:tcPr>
          <w:p w14:paraId="58CBC7AF" w14:textId="6045F69E" w:rsidR="00B82DA4" w:rsidRPr="00BC5EAC" w:rsidRDefault="00B82DA4" w:rsidP="00B82DA4">
            <w:pPr>
              <w:spacing w:before="216" w:after="72"/>
              <w:rPr>
                <w:b/>
                <w:bCs/>
              </w:rPr>
            </w:pPr>
            <w:r w:rsidRPr="00BC5EAC">
              <w:t xml:space="preserve">Pre-proposal Conference </w:t>
            </w:r>
            <w:r w:rsidR="00EF73AF">
              <w:t>11:0</w:t>
            </w:r>
            <w:r w:rsidRPr="00BC5EAC">
              <w:t>0am – 1</w:t>
            </w:r>
            <w:r w:rsidR="00EF73AF">
              <w:t>1</w:t>
            </w:r>
            <w:r w:rsidRPr="00BC5EAC">
              <w:t>:</w:t>
            </w:r>
            <w:r w:rsidR="00EF73AF">
              <w:t>3</w:t>
            </w:r>
            <w:r w:rsidRPr="00BC5EAC">
              <w:t>0</w:t>
            </w:r>
            <w:r w:rsidR="00FB46ED">
              <w:t>a</w:t>
            </w:r>
            <w:r w:rsidRPr="00BC5EAC">
              <w:t>m</w:t>
            </w:r>
            <w:r w:rsidRPr="00BC5EAC">
              <w:rPr>
                <w:b/>
                <w:bCs/>
              </w:rPr>
              <w:t>* Olympia, WA Time</w:t>
            </w:r>
          </w:p>
          <w:p w14:paraId="306C0832" w14:textId="77777777" w:rsidR="00A70E1A" w:rsidRPr="00A70E1A" w:rsidRDefault="00A70E1A" w:rsidP="00A70E1A">
            <w:pPr>
              <w:widowControl/>
              <w:autoSpaceDE/>
              <w:autoSpaceDN/>
              <w:rPr>
                <w:rFonts w:ascii="Segoe UI" w:eastAsia="Aptos" w:hAnsi="Segoe UI" w:cs="Segoe UI"/>
                <w:color w:val="242424"/>
                <w14:ligatures w14:val="standardContextual"/>
              </w:rPr>
            </w:pPr>
            <w:r w:rsidRPr="00A70E1A">
              <w:rPr>
                <w:rFonts w:ascii="Segoe UI" w:eastAsia="Aptos" w:hAnsi="Segoe UI" w:cs="Segoe UI"/>
                <w:b/>
                <w:bCs/>
                <w:color w:val="242424"/>
                <w:sz w:val="36"/>
                <w:szCs w:val="36"/>
                <w14:ligatures w14:val="standardContextual"/>
              </w:rPr>
              <w:t>Microsoft Teams</w:t>
            </w:r>
            <w:r w:rsidRPr="00A70E1A">
              <w:rPr>
                <w:rFonts w:ascii="Segoe UI" w:eastAsia="Aptos" w:hAnsi="Segoe UI" w:cs="Segoe UI"/>
                <w:color w:val="242424"/>
                <w14:ligatures w14:val="standardContextual"/>
              </w:rPr>
              <w:t xml:space="preserve"> </w:t>
            </w:r>
            <w:hyperlink r:id="rId14" w:history="1">
              <w:r w:rsidRPr="00A70E1A">
                <w:rPr>
                  <w:rFonts w:ascii="Segoe UI" w:eastAsia="Aptos" w:hAnsi="Segoe UI" w:cs="Segoe UI"/>
                  <w:color w:val="5B5FC7"/>
                  <w:sz w:val="21"/>
                  <w:szCs w:val="21"/>
                  <w:u w:val="single"/>
                  <w14:ligatures w14:val="standardContextual"/>
                </w:rPr>
                <w:t>Need help?</w:t>
              </w:r>
            </w:hyperlink>
            <w:r w:rsidRPr="00A70E1A">
              <w:rPr>
                <w:rFonts w:ascii="Segoe UI" w:eastAsia="Aptos" w:hAnsi="Segoe UI" w:cs="Segoe UI"/>
                <w:color w:val="242424"/>
                <w14:ligatures w14:val="standardContextual"/>
              </w:rPr>
              <w:t xml:space="preserve"> </w:t>
            </w:r>
          </w:p>
          <w:p w14:paraId="3B8325DB" w14:textId="77777777" w:rsidR="00A70E1A" w:rsidRPr="00A70E1A" w:rsidRDefault="00A70E1A" w:rsidP="00A70E1A">
            <w:pPr>
              <w:widowControl/>
              <w:autoSpaceDE/>
              <w:autoSpaceDN/>
              <w:rPr>
                <w:rFonts w:ascii="Segoe UI" w:eastAsia="Aptos" w:hAnsi="Segoe UI" w:cs="Segoe UI"/>
                <w:color w:val="242424"/>
                <w14:ligatures w14:val="standardContextual"/>
              </w:rPr>
            </w:pPr>
            <w:hyperlink r:id="rId15" w:tgtFrame="_blank" w:tooltip="Meeting join link" w:history="1">
              <w:r w:rsidRPr="00A70E1A">
                <w:rPr>
                  <w:rFonts w:ascii="Segoe UI" w:eastAsia="Aptos" w:hAnsi="Segoe UI" w:cs="Segoe UI"/>
                  <w:b/>
                  <w:bCs/>
                  <w:color w:val="5B5FC7"/>
                  <w:sz w:val="30"/>
                  <w:szCs w:val="30"/>
                  <w:u w:val="single"/>
                  <w14:ligatures w14:val="standardContextual"/>
                </w:rPr>
                <w:t>Join the meeting now</w:t>
              </w:r>
            </w:hyperlink>
            <w:r w:rsidRPr="00A70E1A">
              <w:rPr>
                <w:rFonts w:ascii="Segoe UI" w:eastAsia="Aptos" w:hAnsi="Segoe UI" w:cs="Segoe UI"/>
                <w:color w:val="242424"/>
                <w14:ligatures w14:val="standardContextual"/>
              </w:rPr>
              <w:t xml:space="preserve"> </w:t>
            </w:r>
          </w:p>
          <w:p w14:paraId="3150052C" w14:textId="77777777" w:rsidR="00A70E1A" w:rsidRPr="00A70E1A" w:rsidRDefault="00A70E1A" w:rsidP="00A70E1A">
            <w:pPr>
              <w:widowControl/>
              <w:autoSpaceDE/>
              <w:autoSpaceDN/>
              <w:rPr>
                <w:rFonts w:ascii="Segoe UI" w:eastAsia="Aptos" w:hAnsi="Segoe UI" w:cs="Segoe UI"/>
                <w:color w:val="242424"/>
                <w14:ligatures w14:val="standardContextual"/>
              </w:rPr>
            </w:pPr>
            <w:r w:rsidRPr="00A70E1A">
              <w:rPr>
                <w:rFonts w:ascii="Segoe UI" w:eastAsia="Aptos" w:hAnsi="Segoe UI" w:cs="Segoe UI"/>
                <w:color w:val="616161"/>
                <w:sz w:val="21"/>
                <w:szCs w:val="21"/>
                <w14:ligatures w14:val="standardContextual"/>
              </w:rPr>
              <w:t xml:space="preserve">Meeting ID: </w:t>
            </w:r>
            <w:r w:rsidRPr="00A70E1A">
              <w:rPr>
                <w:rFonts w:ascii="Segoe UI" w:eastAsia="Aptos" w:hAnsi="Segoe UI" w:cs="Segoe UI"/>
                <w:color w:val="242424"/>
                <w:sz w:val="21"/>
                <w:szCs w:val="21"/>
                <w14:ligatures w14:val="standardContextual"/>
              </w:rPr>
              <w:t>277 478 791 766 1</w:t>
            </w:r>
            <w:r w:rsidRPr="00A70E1A">
              <w:rPr>
                <w:rFonts w:ascii="Segoe UI" w:eastAsia="Aptos" w:hAnsi="Segoe UI" w:cs="Segoe UI"/>
                <w:color w:val="242424"/>
                <w14:ligatures w14:val="standardContextual"/>
              </w:rPr>
              <w:t xml:space="preserve"> </w:t>
            </w:r>
          </w:p>
          <w:p w14:paraId="65E32ED1" w14:textId="77777777" w:rsidR="00A70E1A" w:rsidRPr="00A70E1A" w:rsidRDefault="00A70E1A" w:rsidP="00A70E1A">
            <w:pPr>
              <w:widowControl/>
              <w:autoSpaceDE/>
              <w:autoSpaceDN/>
              <w:rPr>
                <w:rFonts w:ascii="Segoe UI" w:eastAsia="Aptos" w:hAnsi="Segoe UI" w:cs="Segoe UI"/>
                <w:color w:val="242424"/>
                <w14:ligatures w14:val="standardContextual"/>
              </w:rPr>
            </w:pPr>
            <w:r w:rsidRPr="00A70E1A">
              <w:rPr>
                <w:rFonts w:ascii="Segoe UI" w:eastAsia="Aptos" w:hAnsi="Segoe UI" w:cs="Segoe UI"/>
                <w:color w:val="616161"/>
                <w:sz w:val="21"/>
                <w:szCs w:val="21"/>
                <w14:ligatures w14:val="standardContextual"/>
              </w:rPr>
              <w:t xml:space="preserve">Passcode: </w:t>
            </w:r>
            <w:r w:rsidRPr="00A70E1A">
              <w:rPr>
                <w:rFonts w:ascii="Segoe UI" w:eastAsia="Aptos" w:hAnsi="Segoe UI" w:cs="Segoe UI"/>
                <w:color w:val="242424"/>
                <w:sz w:val="21"/>
                <w:szCs w:val="21"/>
                <w14:ligatures w14:val="standardContextual"/>
              </w:rPr>
              <w:t>9Ar22Xw6</w:t>
            </w:r>
            <w:r w:rsidRPr="00A70E1A">
              <w:rPr>
                <w:rFonts w:ascii="Segoe UI" w:eastAsia="Aptos" w:hAnsi="Segoe UI" w:cs="Segoe UI"/>
                <w:color w:val="242424"/>
                <w14:ligatures w14:val="standardContextual"/>
              </w:rPr>
              <w:t xml:space="preserve"> </w:t>
            </w:r>
          </w:p>
          <w:p w14:paraId="5787ECDA" w14:textId="77777777" w:rsidR="00A70E1A" w:rsidRPr="00A70E1A" w:rsidRDefault="00A70E1A" w:rsidP="00A70E1A">
            <w:pPr>
              <w:widowControl/>
              <w:autoSpaceDE/>
              <w:autoSpaceDN/>
              <w:jc w:val="center"/>
              <w:rPr>
                <w:rFonts w:ascii="Segoe UI" w:hAnsi="Segoe UI" w:cs="Segoe UI"/>
                <w:color w:val="242424"/>
                <w14:ligatures w14:val="standardContextual"/>
              </w:rPr>
            </w:pPr>
            <w:r w:rsidRPr="00A70E1A">
              <w:rPr>
                <w:rFonts w:ascii="Segoe UI" w:hAnsi="Segoe UI" w:cs="Segoe UI"/>
                <w:color w:val="242424"/>
                <w14:ligatures w14:val="standardContextual"/>
              </w:rPr>
              <w:pict w14:anchorId="66C50C0C">
                <v:rect id="_x0000_i1057" style="width:468pt;height:.5pt" o:hralign="center" o:hrstd="t" o:hr="t" fillcolor="#a0a0a0" stroked="f"/>
              </w:pict>
            </w:r>
          </w:p>
          <w:p w14:paraId="14965ABD" w14:textId="77777777" w:rsidR="00A70E1A" w:rsidRPr="00A70E1A" w:rsidRDefault="00A70E1A" w:rsidP="00A70E1A">
            <w:pPr>
              <w:widowControl/>
              <w:autoSpaceDE/>
              <w:autoSpaceDN/>
              <w:rPr>
                <w:rFonts w:ascii="Segoe UI" w:eastAsia="Aptos" w:hAnsi="Segoe UI" w:cs="Segoe UI"/>
                <w:color w:val="242424"/>
                <w14:ligatures w14:val="standardContextual"/>
              </w:rPr>
            </w:pPr>
            <w:r w:rsidRPr="00A70E1A">
              <w:rPr>
                <w:rFonts w:ascii="Segoe UI" w:eastAsia="Aptos" w:hAnsi="Segoe UI" w:cs="Segoe UI"/>
                <w:b/>
                <w:bCs/>
                <w:color w:val="242424"/>
                <w14:ligatures w14:val="standardContextual"/>
              </w:rPr>
              <w:t>Dial in by phone</w:t>
            </w:r>
            <w:r w:rsidRPr="00A70E1A">
              <w:rPr>
                <w:rFonts w:ascii="Segoe UI" w:eastAsia="Aptos" w:hAnsi="Segoe UI" w:cs="Segoe UI"/>
                <w:color w:val="242424"/>
                <w14:ligatures w14:val="standardContextual"/>
              </w:rPr>
              <w:t xml:space="preserve"> </w:t>
            </w:r>
          </w:p>
          <w:p w14:paraId="6723BB95" w14:textId="77777777" w:rsidR="00A70E1A" w:rsidRPr="00A70E1A" w:rsidRDefault="00A70E1A" w:rsidP="00A70E1A">
            <w:pPr>
              <w:widowControl/>
              <w:autoSpaceDE/>
              <w:autoSpaceDN/>
              <w:rPr>
                <w:rFonts w:ascii="Segoe UI" w:eastAsia="Aptos" w:hAnsi="Segoe UI" w:cs="Segoe UI"/>
                <w:color w:val="242424"/>
                <w14:ligatures w14:val="standardContextual"/>
              </w:rPr>
            </w:pPr>
            <w:hyperlink r:id="rId16" w:history="1">
              <w:r w:rsidRPr="00A70E1A">
                <w:rPr>
                  <w:rFonts w:ascii="Segoe UI" w:eastAsia="Aptos" w:hAnsi="Segoe UI" w:cs="Segoe UI"/>
                  <w:color w:val="5B5FC7"/>
                  <w:sz w:val="21"/>
                  <w:szCs w:val="21"/>
                  <w:u w:val="single"/>
                  <w14:ligatures w14:val="standardContextual"/>
                </w:rPr>
                <w:t>+1 564-999-</w:t>
              </w:r>
              <w:proofErr w:type="gramStart"/>
              <w:r w:rsidRPr="00A70E1A">
                <w:rPr>
                  <w:rFonts w:ascii="Segoe UI" w:eastAsia="Aptos" w:hAnsi="Segoe UI" w:cs="Segoe UI"/>
                  <w:color w:val="5B5FC7"/>
                  <w:sz w:val="21"/>
                  <w:szCs w:val="21"/>
                  <w:u w:val="single"/>
                  <w14:ligatures w14:val="standardContextual"/>
                </w:rPr>
                <w:t>2000,,</w:t>
              </w:r>
              <w:proofErr w:type="gramEnd"/>
              <w:r w:rsidRPr="00A70E1A">
                <w:rPr>
                  <w:rFonts w:ascii="Segoe UI" w:eastAsia="Aptos" w:hAnsi="Segoe UI" w:cs="Segoe UI"/>
                  <w:color w:val="5B5FC7"/>
                  <w:sz w:val="21"/>
                  <w:szCs w:val="21"/>
                  <w:u w:val="single"/>
                  <w14:ligatures w14:val="standardContextual"/>
                </w:rPr>
                <w:t>118950266#</w:t>
              </w:r>
            </w:hyperlink>
            <w:r w:rsidRPr="00A70E1A">
              <w:rPr>
                <w:rFonts w:ascii="Segoe UI" w:eastAsia="Aptos" w:hAnsi="Segoe UI" w:cs="Segoe UI"/>
                <w:color w:val="242424"/>
                <w14:ligatures w14:val="standardContextual"/>
              </w:rPr>
              <w:t xml:space="preserve"> </w:t>
            </w:r>
            <w:r w:rsidRPr="00A70E1A">
              <w:rPr>
                <w:rFonts w:ascii="Segoe UI" w:eastAsia="Aptos" w:hAnsi="Segoe UI" w:cs="Segoe UI"/>
                <w:color w:val="616161"/>
                <w:sz w:val="21"/>
                <w:szCs w:val="21"/>
                <w14:ligatures w14:val="standardContextual"/>
              </w:rPr>
              <w:t>United States, Olympia</w:t>
            </w:r>
            <w:r w:rsidRPr="00A70E1A">
              <w:rPr>
                <w:rFonts w:ascii="Segoe UI" w:eastAsia="Aptos" w:hAnsi="Segoe UI" w:cs="Segoe UI"/>
                <w:color w:val="242424"/>
                <w14:ligatures w14:val="standardContextual"/>
              </w:rPr>
              <w:t xml:space="preserve"> </w:t>
            </w:r>
          </w:p>
          <w:p w14:paraId="60E02270" w14:textId="77777777" w:rsidR="00A70E1A" w:rsidRPr="00A70E1A" w:rsidRDefault="00A70E1A" w:rsidP="00A70E1A">
            <w:pPr>
              <w:widowControl/>
              <w:autoSpaceDE/>
              <w:autoSpaceDN/>
              <w:rPr>
                <w:rFonts w:ascii="Segoe UI" w:eastAsia="Aptos" w:hAnsi="Segoe UI" w:cs="Segoe UI"/>
                <w:color w:val="242424"/>
                <w14:ligatures w14:val="standardContextual"/>
              </w:rPr>
            </w:pPr>
            <w:hyperlink r:id="rId17" w:history="1">
              <w:r w:rsidRPr="00A70E1A">
                <w:rPr>
                  <w:rFonts w:ascii="Segoe UI" w:eastAsia="Aptos" w:hAnsi="Segoe UI" w:cs="Segoe UI"/>
                  <w:color w:val="5B5FC7"/>
                  <w:sz w:val="21"/>
                  <w:szCs w:val="21"/>
                  <w:u w:val="single"/>
                  <w14:ligatures w14:val="standardContextual"/>
                </w:rPr>
                <w:t>Find a local number</w:t>
              </w:r>
            </w:hyperlink>
            <w:r w:rsidRPr="00A70E1A">
              <w:rPr>
                <w:rFonts w:ascii="Segoe UI" w:eastAsia="Aptos" w:hAnsi="Segoe UI" w:cs="Segoe UI"/>
                <w:color w:val="242424"/>
                <w14:ligatures w14:val="standardContextual"/>
              </w:rPr>
              <w:t xml:space="preserve"> </w:t>
            </w:r>
          </w:p>
          <w:p w14:paraId="1195FE54" w14:textId="77777777" w:rsidR="00A70E1A" w:rsidRPr="00A70E1A" w:rsidRDefault="00A70E1A" w:rsidP="00A70E1A">
            <w:pPr>
              <w:widowControl/>
              <w:autoSpaceDE/>
              <w:autoSpaceDN/>
              <w:rPr>
                <w:rFonts w:ascii="Segoe UI" w:eastAsia="Aptos" w:hAnsi="Segoe UI" w:cs="Segoe UI"/>
                <w:color w:val="242424"/>
                <w14:ligatures w14:val="standardContextual"/>
              </w:rPr>
            </w:pPr>
            <w:r w:rsidRPr="00A70E1A">
              <w:rPr>
                <w:rFonts w:ascii="Segoe UI" w:eastAsia="Aptos" w:hAnsi="Segoe UI" w:cs="Segoe UI"/>
                <w:color w:val="616161"/>
                <w:sz w:val="21"/>
                <w:szCs w:val="21"/>
                <w14:ligatures w14:val="standardContextual"/>
              </w:rPr>
              <w:t xml:space="preserve">Phone conference ID: </w:t>
            </w:r>
            <w:r w:rsidRPr="00A70E1A">
              <w:rPr>
                <w:rFonts w:ascii="Segoe UI" w:eastAsia="Aptos" w:hAnsi="Segoe UI" w:cs="Segoe UI"/>
                <w:color w:val="242424"/>
                <w:sz w:val="21"/>
                <w:szCs w:val="21"/>
                <w14:ligatures w14:val="standardContextual"/>
              </w:rPr>
              <w:t>118 950 266#</w:t>
            </w:r>
            <w:r w:rsidRPr="00A70E1A">
              <w:rPr>
                <w:rFonts w:ascii="Segoe UI" w:eastAsia="Aptos" w:hAnsi="Segoe UI" w:cs="Segoe UI"/>
                <w:color w:val="242424"/>
                <w14:ligatures w14:val="standardContextual"/>
              </w:rPr>
              <w:t xml:space="preserve"> </w:t>
            </w:r>
          </w:p>
          <w:p w14:paraId="6352C868" w14:textId="0BE6C0E7" w:rsidR="00B82DA4" w:rsidRPr="00BC5EAC" w:rsidRDefault="00B82DA4" w:rsidP="00B82DA4"/>
        </w:tc>
      </w:tr>
      <w:tr w:rsidR="00B82DA4" w14:paraId="3AA6CFF6" w14:textId="77777777" w:rsidTr="00BC5EAC">
        <w:tc>
          <w:tcPr>
            <w:tcW w:w="2264" w:type="dxa"/>
            <w:tcBorders>
              <w:bottom w:val="single" w:sz="4" w:space="0" w:color="auto"/>
            </w:tcBorders>
            <w:shd w:val="clear" w:color="auto" w:fill="auto"/>
          </w:tcPr>
          <w:p w14:paraId="4E12CFBE" w14:textId="58C0A04B" w:rsidR="00B82DA4" w:rsidRPr="00BC5EAC" w:rsidRDefault="00A70E1A" w:rsidP="00B82DA4">
            <w:pPr>
              <w:spacing w:before="216" w:after="72" w:line="259" w:lineRule="auto"/>
              <w:jc w:val="center"/>
              <w:rPr>
                <w:rFonts w:eastAsiaTheme="minorEastAsia"/>
              </w:rPr>
            </w:pPr>
            <w:r>
              <w:rPr>
                <w:rFonts w:eastAsiaTheme="minorHAnsi"/>
              </w:rPr>
              <w:t>05/09</w:t>
            </w:r>
            <w:r w:rsidR="00B82DA4" w:rsidRPr="00BC5EAC">
              <w:rPr>
                <w:rFonts w:eastAsiaTheme="minorHAnsi"/>
              </w:rPr>
              <w:t>/2025</w:t>
            </w:r>
          </w:p>
        </w:tc>
        <w:tc>
          <w:tcPr>
            <w:tcW w:w="5561" w:type="dxa"/>
            <w:shd w:val="clear" w:color="auto" w:fill="auto"/>
            <w:hideMark/>
          </w:tcPr>
          <w:p w14:paraId="42B87D2C" w14:textId="0C865C07" w:rsidR="00B82DA4" w:rsidRPr="00BC5EAC" w:rsidRDefault="00B82DA4" w:rsidP="00B82DA4">
            <w:pPr>
              <w:spacing w:before="216" w:after="72"/>
              <w:rPr>
                <w:rFonts w:ascii="Calibri" w:eastAsiaTheme="minorEastAsia" w:hAnsi="Calibri"/>
              </w:rPr>
            </w:pPr>
            <w:r w:rsidRPr="00BC5EAC">
              <w:t xml:space="preserve">Complaints due by </w:t>
            </w:r>
            <w:r w:rsidRPr="00BC5EAC">
              <w:rPr>
                <w:b/>
                <w:bCs/>
              </w:rPr>
              <w:t>12:00 p.m.</w:t>
            </w:r>
            <w:r w:rsidRPr="00BC5EAC">
              <w:t xml:space="preserve"> Olympia, WA Time </w:t>
            </w:r>
          </w:p>
        </w:tc>
      </w:tr>
      <w:tr w:rsidR="00B82DA4" w:rsidRPr="00392575" w14:paraId="3813EC52" w14:textId="77777777" w:rsidTr="00BC5EAC">
        <w:tc>
          <w:tcPr>
            <w:tcW w:w="2264" w:type="dxa"/>
            <w:tcBorders>
              <w:bottom w:val="single" w:sz="4" w:space="0" w:color="auto"/>
            </w:tcBorders>
            <w:shd w:val="clear" w:color="auto" w:fill="auto"/>
            <w:hideMark/>
          </w:tcPr>
          <w:p w14:paraId="2C84D514" w14:textId="373AD8C7" w:rsidR="00B82DA4" w:rsidRPr="00BC5EAC" w:rsidRDefault="001838C6" w:rsidP="00B82DA4">
            <w:pPr>
              <w:spacing w:before="216" w:after="72"/>
              <w:jc w:val="center"/>
              <w:rPr>
                <w:rFonts w:eastAsiaTheme="minorEastAsia"/>
              </w:rPr>
            </w:pPr>
            <w:r>
              <w:rPr>
                <w:rFonts w:eastAsiaTheme="minorHAnsi"/>
              </w:rPr>
              <w:t>0</w:t>
            </w:r>
            <w:r w:rsidR="00A70E1A">
              <w:rPr>
                <w:rFonts w:eastAsiaTheme="minorHAnsi"/>
              </w:rPr>
              <w:t>5/14</w:t>
            </w:r>
            <w:r w:rsidR="00B82DA4" w:rsidRPr="00BC5EAC">
              <w:rPr>
                <w:rFonts w:eastAsiaTheme="minorHAnsi"/>
              </w:rPr>
              <w:t>/2025</w:t>
            </w:r>
          </w:p>
        </w:tc>
        <w:tc>
          <w:tcPr>
            <w:tcW w:w="5561" w:type="dxa"/>
            <w:shd w:val="clear" w:color="auto" w:fill="auto"/>
            <w:hideMark/>
          </w:tcPr>
          <w:p w14:paraId="7EEF2964" w14:textId="7AAB35CD" w:rsidR="00B82DA4" w:rsidRPr="00BC5EAC" w:rsidRDefault="00B82DA4" w:rsidP="00B82DA4">
            <w:pPr>
              <w:spacing w:before="216" w:after="72"/>
              <w:rPr>
                <w:rFonts w:ascii="Calibri" w:eastAsiaTheme="minorEastAsia" w:hAnsi="Calibri"/>
              </w:rPr>
            </w:pPr>
            <w:r w:rsidRPr="00BC5EAC">
              <w:t xml:space="preserve">Bid Responses due by </w:t>
            </w:r>
            <w:r w:rsidRPr="00BC5EAC">
              <w:rPr>
                <w:b/>
                <w:bCs/>
              </w:rPr>
              <w:t>12:00 p.m.</w:t>
            </w:r>
            <w:r w:rsidRPr="00BC5EAC">
              <w:t xml:space="preserve"> Olympia, WA Time</w:t>
            </w:r>
          </w:p>
        </w:tc>
      </w:tr>
      <w:tr w:rsidR="00B82DA4" w:rsidRPr="006553B6" w14:paraId="030E6A80" w14:textId="77777777" w:rsidTr="00BC5EAC">
        <w:tc>
          <w:tcPr>
            <w:tcW w:w="2264" w:type="dxa"/>
            <w:tcBorders>
              <w:bottom w:val="single" w:sz="4" w:space="0" w:color="auto"/>
            </w:tcBorders>
            <w:shd w:val="clear" w:color="auto" w:fill="auto"/>
          </w:tcPr>
          <w:p w14:paraId="6F5DDD87" w14:textId="1ED39839" w:rsidR="00B82DA4" w:rsidRPr="00BC5EAC" w:rsidRDefault="00EF73AF" w:rsidP="00B82DA4">
            <w:pPr>
              <w:spacing w:before="216" w:after="72"/>
              <w:jc w:val="center"/>
              <w:rPr>
                <w:rFonts w:eastAsiaTheme="minorEastAsia"/>
              </w:rPr>
            </w:pPr>
            <w:r>
              <w:rPr>
                <w:rFonts w:eastAsiaTheme="minorHAnsi"/>
              </w:rPr>
              <w:lastRenderedPageBreak/>
              <w:t>05/</w:t>
            </w:r>
            <w:r w:rsidR="00A70E1A">
              <w:rPr>
                <w:rFonts w:eastAsiaTheme="minorHAnsi"/>
              </w:rPr>
              <w:t>21</w:t>
            </w:r>
            <w:r w:rsidR="009D3B8D">
              <w:rPr>
                <w:rFonts w:eastAsiaTheme="minorHAnsi"/>
              </w:rPr>
              <w:t>/</w:t>
            </w:r>
            <w:r w:rsidR="00B82DA4" w:rsidRPr="00BC5EAC">
              <w:rPr>
                <w:rFonts w:eastAsiaTheme="minorHAnsi"/>
              </w:rPr>
              <w:t>2025</w:t>
            </w:r>
          </w:p>
        </w:tc>
        <w:tc>
          <w:tcPr>
            <w:tcW w:w="5561" w:type="dxa"/>
            <w:tcBorders>
              <w:bottom w:val="single" w:sz="4" w:space="0" w:color="auto"/>
            </w:tcBorders>
            <w:shd w:val="clear" w:color="auto" w:fill="auto"/>
            <w:hideMark/>
          </w:tcPr>
          <w:p w14:paraId="7F0878C7" w14:textId="77777777" w:rsidR="00B82DA4" w:rsidRPr="00BC5EAC" w:rsidRDefault="00B82DA4" w:rsidP="00B82DA4">
            <w:pPr>
              <w:spacing w:before="216" w:after="72"/>
              <w:rPr>
                <w:rFonts w:ascii="Calibri" w:eastAsiaTheme="minorHAnsi" w:hAnsi="Calibri"/>
              </w:rPr>
            </w:pPr>
            <w:r w:rsidRPr="00BC5EAC">
              <w:t>Announcement of Apparently Successful Vendor(s)</w:t>
            </w:r>
          </w:p>
        </w:tc>
      </w:tr>
      <w:tr w:rsidR="00B82DA4" w:rsidRPr="006553B6" w14:paraId="519C08F9" w14:textId="77777777" w:rsidTr="00BC5EAC">
        <w:tc>
          <w:tcPr>
            <w:tcW w:w="2264" w:type="dxa"/>
            <w:tcBorders>
              <w:bottom w:val="single" w:sz="4" w:space="0" w:color="auto"/>
              <w:right w:val="single" w:sz="4" w:space="0" w:color="auto"/>
            </w:tcBorders>
            <w:shd w:val="clear" w:color="auto" w:fill="auto"/>
          </w:tcPr>
          <w:p w14:paraId="5B185BE2" w14:textId="021A5B06" w:rsidR="00B82DA4" w:rsidRPr="00BC5EAC" w:rsidRDefault="00EF73AF" w:rsidP="00B82DA4">
            <w:pPr>
              <w:spacing w:before="216" w:after="72"/>
              <w:jc w:val="center"/>
              <w:rPr>
                <w:rFonts w:eastAsiaTheme="minorEastAsia"/>
              </w:rPr>
            </w:pPr>
            <w:r>
              <w:rPr>
                <w:rFonts w:eastAsiaTheme="minorHAnsi"/>
              </w:rPr>
              <w:t>05/</w:t>
            </w:r>
            <w:r w:rsidR="00A70E1A">
              <w:rPr>
                <w:rFonts w:eastAsiaTheme="minorHAnsi"/>
              </w:rPr>
              <w:t>22</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5089CD76" w14:textId="2579FB23" w:rsidR="00B82DA4" w:rsidRPr="00BC5EAC" w:rsidRDefault="00B82DA4" w:rsidP="00B82DA4">
            <w:pPr>
              <w:spacing w:before="216" w:after="72"/>
              <w:rPr>
                <w:rFonts w:ascii="Calibri" w:eastAsiaTheme="minorEastAsia" w:hAnsi="Calibri"/>
              </w:rPr>
            </w:pPr>
            <w:r w:rsidRPr="00BC5EAC">
              <w:t xml:space="preserve">Contractor Request for Optional Debriefing due by </w:t>
            </w:r>
            <w:r w:rsidRPr="00BC5EAC">
              <w:rPr>
                <w:b/>
                <w:bCs/>
              </w:rPr>
              <w:t xml:space="preserve">12:00 p.m. </w:t>
            </w:r>
            <w:r w:rsidRPr="00BC5EAC">
              <w:t>Olympia, WA Time</w:t>
            </w:r>
          </w:p>
        </w:tc>
      </w:tr>
      <w:tr w:rsidR="00B82DA4" w:rsidRPr="006553B6" w14:paraId="73A80FCD" w14:textId="77777777" w:rsidTr="00BC5EAC">
        <w:tc>
          <w:tcPr>
            <w:tcW w:w="2264" w:type="dxa"/>
            <w:tcBorders>
              <w:top w:val="single" w:sz="4" w:space="0" w:color="auto"/>
              <w:right w:val="single" w:sz="4" w:space="0" w:color="auto"/>
            </w:tcBorders>
            <w:shd w:val="clear" w:color="auto" w:fill="auto"/>
          </w:tcPr>
          <w:p w14:paraId="6A1121E1" w14:textId="6A4AFBE6" w:rsidR="00B82DA4" w:rsidRPr="00BC5EAC" w:rsidRDefault="00EF73AF" w:rsidP="00B82DA4">
            <w:pPr>
              <w:spacing w:before="216" w:after="72"/>
              <w:jc w:val="center"/>
              <w:rPr>
                <w:rFonts w:eastAsiaTheme="minorEastAsia"/>
              </w:rPr>
            </w:pPr>
            <w:r>
              <w:rPr>
                <w:rFonts w:eastAsiaTheme="minorHAnsi"/>
              </w:rPr>
              <w:t>05/</w:t>
            </w:r>
            <w:r w:rsidR="00A70E1A">
              <w:rPr>
                <w:rFonts w:eastAsiaTheme="minorHAnsi"/>
              </w:rPr>
              <w:t>23</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2E4DA462" w14:textId="77777777" w:rsidR="00B82DA4" w:rsidRPr="006553B6" w:rsidRDefault="00B82DA4" w:rsidP="00B82DA4">
            <w:pPr>
              <w:spacing w:before="216" w:after="72"/>
              <w:rPr>
                <w:rFonts w:ascii="Calibri" w:eastAsiaTheme="minorHAnsi" w:hAnsi="Calibri"/>
              </w:rPr>
            </w:pPr>
            <w:r w:rsidRPr="006553B6">
              <w:t>Optional Contractor Debriefing</w:t>
            </w:r>
          </w:p>
        </w:tc>
      </w:tr>
      <w:tr w:rsidR="00B82DA4" w:rsidRPr="00392575" w14:paraId="275811E8" w14:textId="77777777" w:rsidTr="00BC5EAC">
        <w:tc>
          <w:tcPr>
            <w:tcW w:w="2264" w:type="dxa"/>
            <w:tcBorders>
              <w:right w:val="single" w:sz="4" w:space="0" w:color="auto"/>
            </w:tcBorders>
            <w:shd w:val="clear" w:color="auto" w:fill="auto"/>
          </w:tcPr>
          <w:p w14:paraId="11732143" w14:textId="4E819000" w:rsidR="00B82DA4" w:rsidRPr="00BC5EAC" w:rsidRDefault="00EF73AF" w:rsidP="00B82DA4">
            <w:pPr>
              <w:spacing w:before="216" w:after="72"/>
              <w:jc w:val="center"/>
              <w:rPr>
                <w:rFonts w:eastAsiaTheme="minorEastAsia"/>
              </w:rPr>
            </w:pPr>
            <w:r>
              <w:rPr>
                <w:rFonts w:eastAsiaTheme="minorHAnsi"/>
              </w:rPr>
              <w:t>05/</w:t>
            </w:r>
            <w:r w:rsidR="00A70E1A">
              <w:rPr>
                <w:rFonts w:eastAsiaTheme="minorHAnsi"/>
              </w:rPr>
              <w:t>28</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08CFCF80" w14:textId="7DAEC250" w:rsidR="00B82DA4" w:rsidRPr="00392575" w:rsidRDefault="00B82DA4" w:rsidP="00B82DA4">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56498CF4" w14:textId="77777777" w:rsidR="001711BB" w:rsidRDefault="001711BB" w:rsidP="0011005B">
      <w:pPr>
        <w:spacing w:before="120"/>
        <w:ind w:left="720"/>
      </w:pPr>
    </w:p>
    <w:p w14:paraId="547BF0BD" w14:textId="77777777" w:rsidR="001711BB" w:rsidRDefault="001711BB" w:rsidP="0011005B">
      <w:pPr>
        <w:spacing w:before="120"/>
        <w:ind w:left="720"/>
      </w:pPr>
    </w:p>
    <w:p w14:paraId="7D58726F" w14:textId="77777777" w:rsidR="001711BB" w:rsidRDefault="001711BB" w:rsidP="0011005B">
      <w:pPr>
        <w:spacing w:before="120"/>
        <w:ind w:left="720"/>
      </w:pPr>
    </w:p>
    <w:p w14:paraId="1D506274" w14:textId="77777777" w:rsidR="001711BB" w:rsidRDefault="001711BB" w:rsidP="0011005B">
      <w:pPr>
        <w:spacing w:before="120"/>
        <w:ind w:left="720"/>
      </w:pPr>
    </w:p>
    <w:p w14:paraId="7015B507" w14:textId="0A0FE896" w:rsidR="0011005B" w:rsidRDefault="0011005B" w:rsidP="0011005B">
      <w:pPr>
        <w:spacing w:before="120"/>
        <w:ind w:left="720"/>
      </w:pPr>
      <w:r w:rsidRPr="009F382D">
        <w:t xml:space="preserve">This Schedule is subject to change by </w:t>
      </w:r>
      <w:r w:rsidR="0060744C">
        <w:t>WaTech</w:t>
      </w:r>
      <w:r w:rsidRPr="009F382D">
        <w:t xml:space="preserve">.  Late proposals will not be accepted and shall automatically be disqualified </w:t>
      </w:r>
      <w:proofErr w:type="gramStart"/>
      <w:r w:rsidRPr="009F382D">
        <w:t>from</w:t>
      </w:r>
      <w:proofErr w:type="gramEnd"/>
      <w:r w:rsidRPr="009F382D">
        <w:t xml:space="preserve">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bookmarkStart w:id="1" w:name="_Hlk187401396"/>
      <w:r>
        <w:t>*If no Contractors are on the Pre</w:t>
      </w:r>
      <w:r w:rsidR="0031798C">
        <w:t>-</w:t>
      </w:r>
      <w:r>
        <w:t>proposal Conference within the first five (5) minutes of the scheduled time, the meeting will end</w:t>
      </w:r>
      <w:r w:rsidR="007E4DB8">
        <w:t xml:space="preserve">. </w:t>
      </w:r>
      <w:bookmarkStart w:id="2" w:name="_Hlk144276558"/>
    </w:p>
    <w:bookmarkEnd w:id="2"/>
    <w:bookmarkEnd w:id="0"/>
    <w:bookmarkEnd w:id="1"/>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8"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3"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4AE12AE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w:t>
      </w:r>
      <w:r w:rsidR="00D84088">
        <w:t>Network Services Agreement</w:t>
      </w:r>
      <w:r w:rsidR="0019190A">
        <w:t xml:space="preserve">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4F9209C9" w:rsidR="0019190A" w:rsidRDefault="0019190A" w:rsidP="0019190A">
      <w:pPr>
        <w:ind w:left="720"/>
      </w:pPr>
      <w:r>
        <w:t xml:space="preserve">Contractors seeking an </w:t>
      </w:r>
      <w:r w:rsidR="00D84088">
        <w:t>NSA</w:t>
      </w:r>
      <w:r>
        <w:t xml:space="preserve"> should reach out to the RFQ Coordinator separately for more information on the program. </w:t>
      </w:r>
      <w:r w:rsidRPr="000D0484">
        <w:rPr>
          <w:b/>
          <w:bCs/>
        </w:rPr>
        <w:t xml:space="preserve">Questions about the </w:t>
      </w:r>
      <w:r w:rsidR="00D84088">
        <w:rPr>
          <w:b/>
          <w:bCs/>
        </w:rPr>
        <w:t>NSA</w:t>
      </w:r>
      <w:r w:rsidRPr="000D0484">
        <w:rPr>
          <w:b/>
          <w:bCs/>
        </w:rPr>
        <w:t xml:space="preserve"> program will not be answered during the pre-proposal conference.</w:t>
      </w:r>
      <w:r>
        <w:t xml:space="preserve">  </w:t>
      </w:r>
    </w:p>
    <w:bookmarkEnd w:id="3"/>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5F3BA8CE" w:rsidR="00DD46A5" w:rsidRPr="009F382D" w:rsidRDefault="0017124D" w:rsidP="008A5005">
      <w:pPr>
        <w:spacing w:before="108"/>
        <w:ind w:left="720" w:right="288"/>
        <w:jc w:val="both"/>
      </w:pPr>
      <w:r>
        <w:t xml:space="preserve">Only those </w:t>
      </w:r>
      <w:r w:rsidR="004C3649">
        <w:t>Contractor</w:t>
      </w:r>
      <w:r>
        <w:t xml:space="preserve">s who meet the </w:t>
      </w:r>
      <w:r w:rsidR="00D84088">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w:t>
      </w:r>
      <w:proofErr w:type="gramStart"/>
      <w:r w:rsidR="009D31CF">
        <w:t>as of</w:t>
      </w:r>
      <w:proofErr w:type="gramEnd"/>
      <w:r w:rsidR="009D31CF">
        <w:t xml:space="preserve">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20AD5938" w:rsidR="00FB2FAA" w:rsidRPr="005A721C" w:rsidRDefault="00FB2FAA" w:rsidP="00FB2FAA">
      <w:pPr>
        <w:pStyle w:val="Textbodyindent"/>
        <w:rPr>
          <w:sz w:val="24"/>
        </w:rPr>
      </w:pPr>
      <w:r w:rsidRPr="005A721C">
        <w:rPr>
          <w:sz w:val="24"/>
        </w:rPr>
        <w:lastRenderedPageBreak/>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D84088">
        <w:rPr>
          <w:sz w:val="24"/>
        </w:rPr>
        <w:t>NSA</w:t>
      </w:r>
      <w:r w:rsidR="00683AC6">
        <w:rPr>
          <w:sz w:val="24"/>
        </w:rPr>
        <w:t xml:space="preserve">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w:t>
      </w:r>
      <w:proofErr w:type="gramStart"/>
      <w:r w:rsidR="00683AC6">
        <w:rPr>
          <w:sz w:val="24"/>
        </w:rPr>
        <w:t>call,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4" w:name="_Toc315776364"/>
      <w:bookmarkStart w:id="5" w:name="_Toc318706906"/>
      <w:bookmarkStart w:id="6" w:name="_Toc318783655"/>
      <w:bookmarkStart w:id="7" w:name="_Toc318784094"/>
      <w:bookmarkStart w:id="8" w:name="_Toc318886121"/>
      <w:bookmarkStart w:id="9" w:name="_Toc319121586"/>
      <w:bookmarkStart w:id="10" w:name="_Toc319128031"/>
      <w:bookmarkStart w:id="11" w:name="_Toc349108666"/>
      <w:bookmarkStart w:id="12" w:name="_Toc349465206"/>
      <w:bookmarkStart w:id="13" w:name="_Toc349467959"/>
      <w:bookmarkStart w:id="14" w:name="_Toc349468067"/>
      <w:bookmarkStart w:id="15" w:name="_Toc349468987"/>
      <w:bookmarkStart w:id="16" w:name="_Toc350239105"/>
      <w:bookmarkStart w:id="17" w:name="_Toc350332445"/>
      <w:bookmarkStart w:id="18" w:name="_Toc350859522"/>
      <w:bookmarkStart w:id="19" w:name="_Toc352044206"/>
      <w:bookmarkStart w:id="20" w:name="_Toc352044829"/>
      <w:bookmarkStart w:id="21" w:name="_Toc353004939"/>
      <w:bookmarkStart w:id="22" w:name="_Toc353008548"/>
      <w:bookmarkStart w:id="23" w:name="_Toc353596854"/>
      <w:bookmarkStart w:id="24" w:name="_Toc353622379"/>
      <w:bookmarkStart w:id="25" w:name="_Toc353623117"/>
      <w:bookmarkStart w:id="26" w:name="_Toc353623265"/>
      <w:bookmarkStart w:id="27" w:name="_Toc353674240"/>
      <w:bookmarkStart w:id="28" w:name="_Toc354914703"/>
      <w:bookmarkStart w:id="29" w:name="_Toc354971030"/>
      <w:bookmarkStart w:id="30" w:name="_Toc354971418"/>
      <w:bookmarkStart w:id="31" w:name="_Toc355085242"/>
      <w:bookmarkStart w:id="32" w:name="_Toc355407834"/>
      <w:bookmarkStart w:id="33" w:name="_Toc357522179"/>
      <w:bookmarkStart w:id="34" w:name="_Toc369571856"/>
      <w:bookmarkStart w:id="35" w:name="_Toc369588460"/>
      <w:bookmarkStart w:id="36" w:name="_Toc369596545"/>
      <w:bookmarkStart w:id="37" w:name="_Toc369597141"/>
      <w:bookmarkStart w:id="38" w:name="_Toc369602496"/>
      <w:bookmarkStart w:id="39" w:name="_Toc369937707"/>
      <w:bookmarkStart w:id="40" w:name="_Toc386861117"/>
      <w:bookmarkStart w:id="41" w:name="_Toc416055541"/>
      <w:bookmarkStart w:id="42" w:name="_Toc433773478"/>
      <w:bookmarkStart w:id="43" w:name="_Toc443794617"/>
      <w:bookmarkStart w:id="44" w:name="_Toc59620247"/>
      <w:bookmarkStart w:id="45" w:name="_Toc349136777"/>
      <w:r w:rsidRPr="00FE0EDA">
        <w:rPr>
          <w:b/>
          <w:bCs/>
        </w:rPr>
        <w:t>Protest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06AFF4B"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D84088">
        <w:t>NSA</w:t>
      </w:r>
      <w:r w:rsidR="00901610">
        <w:t>, Addendum, and this procurement document,</w:t>
      </w:r>
      <w:r w:rsidR="003F78A4" w:rsidRPr="009F382D">
        <w:t xml:space="preserve"> including, but not limited to </w:t>
      </w:r>
      <w:proofErr w:type="gramStart"/>
      <w:r w:rsidR="003F78A4" w:rsidRPr="009F382D">
        <w:t>cabling</w:t>
      </w:r>
      <w:proofErr w:type="gramEnd"/>
      <w:r w:rsidR="003F78A4" w:rsidRPr="009F382D">
        <w:t xml:space="preserve">,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lastRenderedPageBreak/>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w:t>
      </w:r>
      <w:proofErr w:type="gramStart"/>
      <w:r w:rsidR="005F1A95" w:rsidRPr="005F1A95">
        <w:rPr>
          <w:b/>
          <w:i/>
        </w:rPr>
        <w:t>bid</w:t>
      </w:r>
      <w:proofErr w:type="gramEnd"/>
      <w:r w:rsidR="005F1A95" w:rsidRPr="005F1A95">
        <w:rPr>
          <w:b/>
          <w:i/>
        </w:rPr>
        <w:t xml:space="preserve"> on a 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proofErr w:type="gramStart"/>
      <w:r>
        <w:rPr>
          <w:b/>
          <w:bCs/>
        </w:rPr>
        <w:t>Trunks</w:t>
      </w:r>
      <w:proofErr w:type="gramEnd"/>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w:t>
      </w:r>
      <w:proofErr w:type="gramStart"/>
      <w:r w:rsidRPr="00F23F54">
        <w:rPr>
          <w:sz w:val="24"/>
        </w:rPr>
        <w:t>bid</w:t>
      </w:r>
      <w:proofErr w:type="gramEnd"/>
      <w:r w:rsidRPr="00F23F54">
        <w:rPr>
          <w:sz w:val="24"/>
        </w:rPr>
        <w:t xml:space="preserve">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60744C">
        <w:t>WaTech</w:t>
      </w:r>
      <w:r w:rsidRPr="006959C1">
        <w:t xml:space="preserve"> has successfully completed the required background check. Contractor’s failure to comply </w:t>
      </w:r>
      <w:proofErr w:type="gramStart"/>
      <w:r w:rsidRPr="006959C1">
        <w:t>in</w:t>
      </w:r>
      <w:proofErr w:type="gramEnd"/>
      <w:r w:rsidRPr="006959C1">
        <w:t xml:space="preserve">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lastRenderedPageBreak/>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D894947" w:rsidR="00D23DDD" w:rsidRDefault="00FB2FAA" w:rsidP="00E63DFF">
      <w:pPr>
        <w:pStyle w:val="Heading1para"/>
        <w:rPr>
          <w:sz w:val="24"/>
          <w:szCs w:val="24"/>
        </w:rPr>
      </w:pPr>
      <w:r w:rsidRPr="00E63DFF">
        <w:rPr>
          <w:sz w:val="24"/>
          <w:szCs w:val="24"/>
        </w:rPr>
        <w:t xml:space="preserve">Per the </w:t>
      </w:r>
      <w:r w:rsidR="00D84088">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5"/>
      <w:r w:rsidRPr="00465BF7">
        <w:rPr>
          <w:b/>
          <w:bCs/>
        </w:rPr>
        <w:t>Financial Grounds for Disqualification</w:t>
      </w:r>
      <w:bookmarkEnd w:id="46"/>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Toc328065296"/>
      <w:r w:rsidRPr="00465BF7">
        <w:rPr>
          <w:b/>
          <w:bCs/>
        </w:rPr>
        <w:t>Taxes</w:t>
      </w:r>
      <w:bookmarkEnd w:id="47"/>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8"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9" w:name="_Ref87693445"/>
      <w:bookmarkStart w:id="50" w:name="_Toc328065303"/>
      <w:bookmarkEnd w:id="48"/>
      <w:r w:rsidRPr="00465BF7">
        <w:rPr>
          <w:b/>
          <w:bCs/>
        </w:rPr>
        <w:t xml:space="preserve">Completion of </w:t>
      </w:r>
      <w:r w:rsidR="00D83509">
        <w:rPr>
          <w:b/>
          <w:bCs/>
        </w:rPr>
        <w:t>Cost</w:t>
      </w:r>
      <w:r w:rsidR="00D83509" w:rsidRPr="00465BF7">
        <w:rPr>
          <w:b/>
          <w:bCs/>
        </w:rPr>
        <w:t xml:space="preserve"> </w:t>
      </w:r>
      <w:r w:rsidRPr="00465BF7">
        <w:rPr>
          <w:b/>
          <w:bCs/>
        </w:rPr>
        <w:t>Model</w:t>
      </w:r>
      <w:bookmarkEnd w:id="49"/>
      <w:bookmarkEnd w:id="50"/>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31D7082E" w14:textId="77777777" w:rsidR="00B82DA4" w:rsidRDefault="00B82DA4" w:rsidP="00B82DA4">
      <w:pPr>
        <w:pStyle w:val="ListParagraph"/>
        <w:numPr>
          <w:ilvl w:val="0"/>
          <w:numId w:val="22"/>
        </w:numPr>
      </w:pPr>
      <w:bookmarkStart w:id="51" w:name="_Hlk191018712"/>
      <w:r>
        <w:t>(MS) Contractor’s proposed shorter Guaranteed Install Interval</w:t>
      </w:r>
    </w:p>
    <w:p w14:paraId="21619CD0" w14:textId="77777777" w:rsidR="00B82DA4" w:rsidRDefault="00B82DA4" w:rsidP="00B82DA4">
      <w:pPr>
        <w:pStyle w:val="ListParagraph"/>
      </w:pPr>
    </w:p>
    <w:p w14:paraId="38C991B5" w14:textId="48CBABB3" w:rsidR="00B82DA4" w:rsidRDefault="00B82DA4" w:rsidP="00B82DA4">
      <w:pPr>
        <w:pStyle w:val="Style1"/>
        <w:numPr>
          <w:ilvl w:val="0"/>
          <w:numId w:val="23"/>
        </w:numPr>
        <w:spacing w:before="0"/>
        <w:ind w:right="144"/>
        <w:rPr>
          <w:sz w:val="24"/>
        </w:rPr>
      </w:pPr>
      <w:bookmarkStart w:id="52"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7E7A4CC" w14:textId="5970DC5C" w:rsidR="00B82DA4" w:rsidRPr="006959C1" w:rsidRDefault="00B82DA4" w:rsidP="00B82DA4">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52"/>
    <w:bookmarkEnd w:id="51"/>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3"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w:lastRenderedPageBreak/>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3"/>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w:t>
      </w:r>
      <w:proofErr w:type="gramStart"/>
      <w:r w:rsidR="00596E6F" w:rsidRPr="001756CA">
        <w:t>meet</w:t>
      </w:r>
      <w:proofErr w:type="gramEnd"/>
      <w:r w:rsidR="00596E6F" w:rsidRPr="001756CA">
        <w:t xml:space="preserve">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lastRenderedPageBreak/>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4"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4"/>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391DD6AC" w14:textId="69148ACD"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38BF1854"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D84088">
        <w:rPr>
          <w:sz w:val="22"/>
          <w:szCs w:val="22"/>
        </w:rPr>
        <w:t>NSA</w:t>
      </w:r>
      <w:r w:rsidR="00683AC6" w:rsidRPr="00635D22">
        <w:rPr>
          <w:sz w:val="22"/>
          <w:szCs w:val="22"/>
        </w:rPr>
        <w:t xml:space="preserve">,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153EB458"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98501 or </w:t>
      </w:r>
      <w:hyperlink r:id="rId20">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4786F867"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w:t>
    </w:r>
    <w:r w:rsidR="00BC5EAC">
      <w:rPr>
        <w:sz w:val="20"/>
        <w:szCs w:val="20"/>
      </w:rPr>
      <w:t>-0</w:t>
    </w:r>
    <w:r w:rsidR="00EF73AF">
      <w:rPr>
        <w:sz w:val="20"/>
        <w:szCs w:val="20"/>
      </w:rPr>
      <w:t>3</w:t>
    </w:r>
    <w:r w:rsidR="00A70E1A">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98F"/>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838C6"/>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377D"/>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60E1"/>
    <w:rsid w:val="00346A5F"/>
    <w:rsid w:val="00347069"/>
    <w:rsid w:val="00351A3A"/>
    <w:rsid w:val="00354D87"/>
    <w:rsid w:val="00355A67"/>
    <w:rsid w:val="003561EB"/>
    <w:rsid w:val="0036235D"/>
    <w:rsid w:val="00363051"/>
    <w:rsid w:val="00363398"/>
    <w:rsid w:val="00364DC1"/>
    <w:rsid w:val="00365FD7"/>
    <w:rsid w:val="00366CE9"/>
    <w:rsid w:val="003704A7"/>
    <w:rsid w:val="00372ED4"/>
    <w:rsid w:val="00372F9F"/>
    <w:rsid w:val="0037305D"/>
    <w:rsid w:val="003739AF"/>
    <w:rsid w:val="00373AE6"/>
    <w:rsid w:val="00374B67"/>
    <w:rsid w:val="00374DC1"/>
    <w:rsid w:val="00380047"/>
    <w:rsid w:val="003806E6"/>
    <w:rsid w:val="00382388"/>
    <w:rsid w:val="00382483"/>
    <w:rsid w:val="0038289A"/>
    <w:rsid w:val="003844E5"/>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26C89"/>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4AD1"/>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69DE"/>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B7E3A"/>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7744"/>
    <w:rsid w:val="007015C0"/>
    <w:rsid w:val="007019DB"/>
    <w:rsid w:val="00702651"/>
    <w:rsid w:val="00703A78"/>
    <w:rsid w:val="0070600B"/>
    <w:rsid w:val="00706166"/>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63D4"/>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018"/>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C7A6F"/>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4628"/>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2AD"/>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B8D"/>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7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532C"/>
    <w:rsid w:val="00A66B66"/>
    <w:rsid w:val="00A672E6"/>
    <w:rsid w:val="00A70E1A"/>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0B5"/>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AF7D07"/>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2DA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5EAC"/>
    <w:rsid w:val="00BC6153"/>
    <w:rsid w:val="00BC717E"/>
    <w:rsid w:val="00BC75F0"/>
    <w:rsid w:val="00BC7953"/>
    <w:rsid w:val="00BD0C95"/>
    <w:rsid w:val="00BD1A9D"/>
    <w:rsid w:val="00BD7D39"/>
    <w:rsid w:val="00BE1765"/>
    <w:rsid w:val="00BE1D27"/>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088"/>
    <w:rsid w:val="00D84539"/>
    <w:rsid w:val="00D845F3"/>
    <w:rsid w:val="00D8503E"/>
    <w:rsid w:val="00D86F5B"/>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3754"/>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EF73AF"/>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42D6"/>
    <w:rsid w:val="00F25476"/>
    <w:rsid w:val="00F26AB3"/>
    <w:rsid w:val="00F30626"/>
    <w:rsid w:val="00F318AB"/>
    <w:rsid w:val="00F31AD0"/>
    <w:rsid w:val="00F31D2C"/>
    <w:rsid w:val="00F34728"/>
    <w:rsid w:val="00F3584C"/>
    <w:rsid w:val="00F41718"/>
    <w:rsid w:val="00F42307"/>
    <w:rsid w:val="00F42DD3"/>
    <w:rsid w:val="00F4466D"/>
    <w:rsid w:val="00F45960"/>
    <w:rsid w:val="00F50A0E"/>
    <w:rsid w:val="00F54561"/>
    <w:rsid w:val="00F607BF"/>
    <w:rsid w:val="00F61061"/>
    <w:rsid w:val="00F61A80"/>
    <w:rsid w:val="00F623E9"/>
    <w:rsid w:val="00F62B4C"/>
    <w:rsid w:val="00F632FB"/>
    <w:rsid w:val="00F65419"/>
    <w:rsid w:val="00F72FDE"/>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46ED"/>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A75"/>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90244961">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184289278">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62115305">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16702612">
      <w:bodyDiv w:val="1"/>
      <w:marLeft w:val="0"/>
      <w:marRight w:val="0"/>
      <w:marTop w:val="0"/>
      <w:marBottom w:val="0"/>
      <w:divBdr>
        <w:top w:val="none" w:sz="0" w:space="0" w:color="auto"/>
        <w:left w:val="none" w:sz="0" w:space="0" w:color="auto"/>
        <w:bottom w:val="none" w:sz="0" w:space="0" w:color="auto"/>
        <w:right w:val="none" w:sz="0" w:space="0" w:color="auto"/>
      </w:divBdr>
    </w:div>
    <w:div w:id="726494192">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25966778">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5311851">
      <w:bodyDiv w:val="1"/>
      <w:marLeft w:val="0"/>
      <w:marRight w:val="0"/>
      <w:marTop w:val="0"/>
      <w:marBottom w:val="0"/>
      <w:divBdr>
        <w:top w:val="none" w:sz="0" w:space="0" w:color="auto"/>
        <w:left w:val="none" w:sz="0" w:space="0" w:color="auto"/>
        <w:bottom w:val="none" w:sz="0" w:space="0" w:color="auto"/>
        <w:right w:val="none" w:sz="0" w:space="0" w:color="auto"/>
      </w:divBdr>
    </w:div>
    <w:div w:id="1318223171">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465659541">
      <w:bodyDiv w:val="1"/>
      <w:marLeft w:val="0"/>
      <w:marRight w:val="0"/>
      <w:marTop w:val="0"/>
      <w:marBottom w:val="0"/>
      <w:divBdr>
        <w:top w:val="none" w:sz="0" w:space="0" w:color="auto"/>
        <w:left w:val="none" w:sz="0" w:space="0" w:color="auto"/>
        <w:bottom w:val="none" w:sz="0" w:space="0" w:color="auto"/>
        <w:right w:val="none" w:sz="0" w:space="0" w:color="auto"/>
      </w:divBdr>
    </w:div>
    <w:div w:id="1538545958">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44475192">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118950266" TargetMode="External"/><Relationship Id="rId2" Type="http://schemas.openxmlformats.org/officeDocument/2006/relationships/customXml" Target="../customXml/item2.xml"/><Relationship Id="rId16" Type="http://schemas.openxmlformats.org/officeDocument/2006/relationships/hyperlink" Target="tel:+15649992000,,118950266"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NjcwMjVlN2EtMTM3Ni00ODRkLWFhZDAtMzE0MTJmMmU1MWVh%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2.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3.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D4443-669A-4D89-922B-14302A64B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4526</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2025-04-15T14:20:00Z</dcterms:created>
  <dcterms:modified xsi:type="dcterms:W3CDTF">2025-04-15T14:20:00Z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